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8E39" w14:textId="357C152D" w:rsidR="002F3FC7" w:rsidRDefault="002F3FC7" w:rsidP="002F3FC7">
      <w:pPr>
        <w:pStyle w:val="Ttulo1"/>
      </w:pPr>
      <w:r>
        <w:t>ESTUDO TÉCNICO PRELIMINAR (ETP)</w:t>
      </w:r>
    </w:p>
    <w:p w14:paraId="62CEFEF7" w14:textId="77777777" w:rsidR="002F3FC7" w:rsidRDefault="002F3FC7" w:rsidP="002F3FC7">
      <w:pPr>
        <w:pStyle w:val="Corpodetexto"/>
      </w:pPr>
    </w:p>
    <w:p w14:paraId="3A1836E7" w14:textId="77777777" w:rsidR="002F3FC7" w:rsidRDefault="002F3FC7" w:rsidP="002F3FC7">
      <w:pPr>
        <w:pStyle w:val="Corpodetexto"/>
        <w:ind w:firstLine="0"/>
      </w:pPr>
      <w:r>
        <w:t xml:space="preserve">Processo Administrativo nº: 174/2026  </w:t>
      </w:r>
    </w:p>
    <w:p w14:paraId="4DFF0858" w14:textId="51DE88FE" w:rsidR="002F3FC7" w:rsidRDefault="002F3FC7" w:rsidP="002F3FC7">
      <w:pPr>
        <w:pStyle w:val="Corpodetexto"/>
        <w:ind w:firstLine="0"/>
      </w:pPr>
      <w:r>
        <w:t xml:space="preserve">Setor Demandante: Secretaria/Diretoria Administrativa </w:t>
      </w:r>
    </w:p>
    <w:p w14:paraId="4BEFFC4C" w14:textId="77777777" w:rsidR="002F3FC7" w:rsidRDefault="002F3FC7" w:rsidP="002F3FC7">
      <w:pPr>
        <w:pStyle w:val="Corpodetexto"/>
        <w:ind w:firstLine="0"/>
      </w:pPr>
      <w:r>
        <w:t>Objeto: Contratação de curso de capacitação estratégica "</w:t>
      </w:r>
      <w:r w:rsidRPr="002F3FC7">
        <w:rPr>
          <w:i/>
          <w:iCs/>
        </w:rPr>
        <w:t>Programa de Formação em Alta Performance na Gestão Pública Municipal – Edição 2026</w:t>
      </w:r>
      <w:r>
        <w:t xml:space="preserve">".  </w:t>
      </w:r>
    </w:p>
    <w:p w14:paraId="50AED1C4" w14:textId="77777777" w:rsidR="002F3FC7" w:rsidRDefault="002F3FC7" w:rsidP="002F3FC7">
      <w:pPr>
        <w:pStyle w:val="Corpodetexto"/>
        <w:ind w:firstLine="0"/>
      </w:pPr>
      <w:r>
        <w:t>Fundamento Legal: Art. 18 e Art. 72 da Lei Federal nº 14.133/2021.</w:t>
      </w:r>
    </w:p>
    <w:p w14:paraId="5DB22418" w14:textId="77777777" w:rsidR="002F3FC7" w:rsidRDefault="002F3FC7" w:rsidP="002F3FC7">
      <w:pPr>
        <w:pStyle w:val="Corpodetexto"/>
      </w:pPr>
    </w:p>
    <w:p w14:paraId="161F8909" w14:textId="613A56E8" w:rsidR="002F3FC7" w:rsidRDefault="002F3FC7" w:rsidP="002F3FC7">
      <w:pPr>
        <w:pStyle w:val="Ttulo1"/>
      </w:pPr>
      <w:r>
        <w:t>Descrição da necessidade da contratação</w:t>
      </w:r>
    </w:p>
    <w:p w14:paraId="6B9E10C2" w14:textId="097239E6" w:rsidR="00676824" w:rsidRDefault="00676824" w:rsidP="002F3FC7">
      <w:pPr>
        <w:pStyle w:val="Corpodetexto"/>
      </w:pPr>
      <w:r w:rsidRPr="00676824">
        <w:t>Foi identificada a necessidade de atualização técnica e aperfeiçoamento dos servidores da Câmara Municipal de Pirassununga em temas diretamente relacionados à gestão pública contemporânea, com destaque para</w:t>
      </w:r>
      <w:r>
        <w:t xml:space="preserve"> os</w:t>
      </w:r>
      <w:r w:rsidRPr="00676824">
        <w:t xml:space="preserve"> impactos da reforma tributária na arrecadação e no planejamento municipal, governança, responsabilização de agentes públicos, gestão de riscos e crises, defesa civil, consolidação do IEGM, liderança no setor público, inteligência artificial aplicada à Administração Pública e controle de conformidade em contratações. </w:t>
      </w:r>
    </w:p>
    <w:p w14:paraId="52D8C95A" w14:textId="46B0118C" w:rsidR="002F3FC7" w:rsidRDefault="002F3FC7" w:rsidP="002F3FC7">
      <w:pPr>
        <w:pStyle w:val="Corpodetexto"/>
      </w:pPr>
      <w:r>
        <w:t>A necessidade decorre da constante evolução normativa e da urgência de atualização técnica dos agentes públicos quanto aos impactos da reforma tributária e às novas exigências de governança e indicadores de efetividade (IEGM) do Tribunal de Contas. A ausência da capacitação pode acarretar riscos de responsabilização e perda de eficiência administrativa na condução de processos e assessoramento jurídico da Casa.</w:t>
      </w:r>
    </w:p>
    <w:p w14:paraId="3F8D5924" w14:textId="5648160E" w:rsidR="00676824" w:rsidRDefault="00676824" w:rsidP="002F3FC7">
      <w:pPr>
        <w:pStyle w:val="Corpodetexto"/>
      </w:pPr>
      <w:r w:rsidRPr="00676824">
        <w:t>A demanda decorre de solicitação formal subscrita pela Diretora Legislativa, pela Assessora Parlamentar da Mesa Diretora e pelo Procurador Legislativo, na qual se registra que a constante evolução normativa, somada às exigências dos órgãos de controle externo, impõe a necessidade de capacitação continuada dos servidores, especialmente daqueles que atuam em assessoramento jurídico, fiscalização e condução de processos administrativos</w:t>
      </w:r>
      <w:r>
        <w:t xml:space="preserve"> e do processo legislativo</w:t>
      </w:r>
      <w:r w:rsidRPr="00676824">
        <w:t>.</w:t>
      </w:r>
    </w:p>
    <w:p w14:paraId="6E9DEB15" w14:textId="32915A29" w:rsidR="002F3FC7" w:rsidRDefault="002F3FC7" w:rsidP="002F3FC7">
      <w:pPr>
        <w:pStyle w:val="Ttulo1"/>
      </w:pPr>
      <w:r>
        <w:lastRenderedPageBreak/>
        <w:t>Requisitos da contratação</w:t>
      </w:r>
    </w:p>
    <w:p w14:paraId="422187B0" w14:textId="77777777" w:rsidR="002F3FC7" w:rsidRDefault="002F3FC7" w:rsidP="002F3FC7">
      <w:pPr>
        <w:pStyle w:val="Corpodetexto"/>
      </w:pPr>
      <w:r>
        <w:t xml:space="preserve">Os serviços devem contemplar carga horária </w:t>
      </w:r>
      <w:r>
        <w:t xml:space="preserve">suficiente para cobertura do conteúdo programático, a saber, </w:t>
      </w:r>
      <w:r w:rsidRPr="002F3FC7">
        <w:t>Reforma Tributária e Gestão Estratégica da Arrecadação Municipal</w:t>
      </w:r>
      <w:r>
        <w:t xml:space="preserve">, </w:t>
      </w:r>
      <w:r w:rsidRPr="002F3FC7">
        <w:t>Gestão de Riscos e Crises na Administração Pública</w:t>
      </w:r>
      <w:r>
        <w:t xml:space="preserve">, </w:t>
      </w:r>
      <w:r w:rsidRPr="002F3FC7">
        <w:t>Sistema Nacional de Defesa Civil e Gestão de Desastres</w:t>
      </w:r>
      <w:r>
        <w:t xml:space="preserve">, </w:t>
      </w:r>
      <w:r w:rsidRPr="002F3FC7">
        <w:t>Inteligência Artificial Aplicada à Gestão Pública Municipal</w:t>
      </w:r>
      <w:r>
        <w:t xml:space="preserve">, </w:t>
      </w:r>
      <w:r w:rsidRPr="002F3FC7">
        <w:t>Consolidação do IEGM (Índice de Efetividade da Gestão Municipal)</w:t>
      </w:r>
      <w:r>
        <w:t xml:space="preserve">, </w:t>
      </w:r>
      <w:r w:rsidRPr="002F3FC7">
        <w:t>Liderança e Gestão de Equipas no Setor Público</w:t>
      </w:r>
      <w:r>
        <w:t xml:space="preserve">, </w:t>
      </w:r>
      <w:r w:rsidRPr="002F3FC7">
        <w:t>Governança Municipal e Responsabilização dos Agentes Públicos</w:t>
      </w:r>
      <w:r>
        <w:t xml:space="preserve"> e </w:t>
      </w:r>
      <w:r w:rsidRPr="002F3FC7">
        <w:t>Plano de Excelência Municipal</w:t>
      </w:r>
      <w:r>
        <w:t>.</w:t>
      </w:r>
    </w:p>
    <w:p w14:paraId="3B50759F" w14:textId="34826AEC" w:rsidR="002F3FC7" w:rsidRDefault="002F3FC7" w:rsidP="002F3FC7">
      <w:pPr>
        <w:pStyle w:val="Corpodetexto"/>
      </w:pPr>
      <w:r>
        <w:t>Preferencialmente o treinamento deve ser</w:t>
      </w:r>
      <w:r>
        <w:t xml:space="preserve"> ministrado na modalidade de Educação a Distância (EAD). É indispensável o fornecimento de material didático digital e a emissão de certificação vinculada ao aproveitamento acadêmico.</w:t>
      </w:r>
    </w:p>
    <w:p w14:paraId="530540D8" w14:textId="6EE3565C" w:rsidR="00676824" w:rsidRDefault="00676824" w:rsidP="002F3FC7">
      <w:pPr>
        <w:pStyle w:val="Corpodetexto"/>
      </w:pPr>
      <w:r w:rsidRPr="00676824">
        <w:t>O curso proposto possui carga horária total de 102 horas, distribuídas em 9 módulos (8 módulos conteudistas e 1 fórum presencial), com metodologia teórico‑prática e utilização de ambiente virtual de aprendizagem, o que permite conciliação com as rotinas de trabalho e favorece a aplicação imediata dos conteúdos à realidade institucional da Câmara Municipal.</w:t>
      </w:r>
    </w:p>
    <w:p w14:paraId="7C032910" w14:textId="56D50012" w:rsidR="00676824" w:rsidRDefault="00676824" w:rsidP="002F3FC7">
      <w:pPr>
        <w:pStyle w:val="Corpodetexto"/>
      </w:pPr>
      <w:r w:rsidRPr="00676824">
        <w:t xml:space="preserve">Fundamentam o presente Estudo Técnico Preliminar os </w:t>
      </w:r>
      <w:proofErr w:type="spellStart"/>
      <w:r w:rsidRPr="00676824">
        <w:t>arts</w:t>
      </w:r>
      <w:proofErr w:type="spellEnd"/>
      <w:r w:rsidRPr="00676824">
        <w:t>. 18 e 72 da Lei nº 14.133/2021, que disciplinam o planejamento e a instrução dos processos de contratação, inclusive diretas, e estabelecem o ETP como documento constitutivo do planejamento, destinado a evidenciar o problema a ser resolvido e a melhor solução para o interesse público envolvido.</w:t>
      </w:r>
    </w:p>
    <w:p w14:paraId="2C33214F" w14:textId="5995AA1F" w:rsidR="002F3FC7" w:rsidRDefault="002F3FC7" w:rsidP="002F3FC7">
      <w:pPr>
        <w:pStyle w:val="Ttulo1"/>
      </w:pPr>
      <w:r>
        <w:t>Estimativa de quantidades</w:t>
      </w:r>
    </w:p>
    <w:p w14:paraId="2D1A6B67" w14:textId="77777777" w:rsidR="00676824" w:rsidRDefault="00676824" w:rsidP="002F3FC7">
      <w:pPr>
        <w:pStyle w:val="Corpodetexto"/>
      </w:pPr>
      <w:r w:rsidRPr="00676824">
        <w:t xml:space="preserve">A contratação insere-se na ação orçamentária “Capacitação de Agentes Públicos”, funcional programática 01.122.1044‑2.161, elemento de despesa 3.3.90.39 – “Outros Serviços de Terceiros – Pessoa Jurídica”, conforme saldo de dotação indicado em ficha específica, com valor autorizado de R$ 192.000,00 e saldo disponível de R$ 187.665,00 na data da emissão do demonstrativo contábil juntado aos autos. </w:t>
      </w:r>
    </w:p>
    <w:p w14:paraId="66E4BE2A" w14:textId="0BBAFB01" w:rsidR="00676824" w:rsidRDefault="00676824" w:rsidP="002F3FC7">
      <w:pPr>
        <w:pStyle w:val="Corpodetexto"/>
      </w:pPr>
      <w:r w:rsidRPr="00676824">
        <w:t xml:space="preserve">Consta despacho da Presidência determinando à Contabilidade a informação sobre a possibilidade orçamentária para custeio do curso no valor </w:t>
      </w:r>
      <w:r w:rsidRPr="00676824">
        <w:lastRenderedPageBreak/>
        <w:t>de R$ 25.000,00, posteriormente confirmada em anexo próprio, o que evidencia compatibilidade da despesa pretendida com a programação orçamentária vigente e com a finalidade da ação de capacitação de agentes públicos.</w:t>
      </w:r>
    </w:p>
    <w:p w14:paraId="79B940DB" w14:textId="77777777" w:rsidR="00676824" w:rsidRPr="00676824" w:rsidRDefault="00676824" w:rsidP="00676824">
      <w:pPr>
        <w:pStyle w:val="Corpodetexto"/>
      </w:pPr>
      <w:r w:rsidRPr="00676824">
        <w:t xml:space="preserve">A partir da necessidade identificada, estabelecem-se como requisitos essenciais da contratação:  </w:t>
      </w:r>
    </w:p>
    <w:p w14:paraId="5FB8E9E0" w14:textId="3054B892" w:rsidR="00676824" w:rsidRPr="00676824" w:rsidRDefault="00676824" w:rsidP="00676824">
      <w:pPr>
        <w:pStyle w:val="Corpodetexto"/>
        <w:numPr>
          <w:ilvl w:val="0"/>
          <w:numId w:val="6"/>
        </w:numPr>
      </w:pPr>
      <w:r w:rsidRPr="00676824">
        <w:t xml:space="preserve">que o serviço educacional seja prestado na modalidade EAD, com carga </w:t>
      </w:r>
      <w:proofErr w:type="gramStart"/>
      <w:r>
        <w:t xml:space="preserve">horária </w:t>
      </w:r>
      <w:r w:rsidRPr="00676824">
        <w:t xml:space="preserve"> distribuídas</w:t>
      </w:r>
      <w:proofErr w:type="gramEnd"/>
      <w:r w:rsidRPr="00676824">
        <w:t xml:space="preserve"> em módulos que contemplem, no mínimo, temas de reforma tributária, gestão de riscos, defesa civil, inteligência artificial aplicada ao setor público, IEGM, liderança e responsabilização de agentes públicos; </w:t>
      </w:r>
    </w:p>
    <w:p w14:paraId="53F12E42" w14:textId="70FAE05A" w:rsidR="00676824" w:rsidRPr="00676824" w:rsidRDefault="00676824" w:rsidP="00676824">
      <w:pPr>
        <w:pStyle w:val="Corpodetexto"/>
        <w:numPr>
          <w:ilvl w:val="0"/>
          <w:numId w:val="6"/>
        </w:numPr>
      </w:pPr>
      <w:r w:rsidRPr="00676824">
        <w:t xml:space="preserve">que a metodologia adotada contemple aulas síncronas e assíncronas, estudos de caso, materiais didáticos digitais e acompanhamento pedagógico, de forma a permitir a aplicação prática dos conteúdos no contexto da gestão pública municipal; </w:t>
      </w:r>
    </w:p>
    <w:p w14:paraId="66888BCA" w14:textId="637DC6B8" w:rsidR="00676824" w:rsidRPr="00676824" w:rsidRDefault="00676824" w:rsidP="00676824">
      <w:pPr>
        <w:pStyle w:val="Corpodetexto"/>
        <w:numPr>
          <w:ilvl w:val="0"/>
          <w:numId w:val="6"/>
        </w:numPr>
      </w:pPr>
      <w:r w:rsidRPr="00676824">
        <w:t xml:space="preserve">que seja franqueado o acesso a até 10 servidores da Câmara Municipal, com emissão de certificados individuais para aqueles que cumprirem a frequência mínima e os critérios de avaliação estabelecidos, observadas as exigências de participação e aproveitamento definidas pela instituição promotora; </w:t>
      </w:r>
    </w:p>
    <w:p w14:paraId="1F67C137" w14:textId="6B3D5B94" w:rsidR="00676824" w:rsidRPr="00676824" w:rsidRDefault="00676824" w:rsidP="00676824">
      <w:pPr>
        <w:pStyle w:val="Corpodetexto"/>
        <w:numPr>
          <w:ilvl w:val="0"/>
          <w:numId w:val="6"/>
        </w:numPr>
      </w:pPr>
      <w:r w:rsidRPr="00676824">
        <w:t xml:space="preserve">que a instituição contratada possua atuação específica na formação e capacitação de agentes públicos municipais, com experiência comprovada em programas de qualificação para Câmaras Municipais e Prefeituras, e apresente documentação fiscal e jurídica regular; </w:t>
      </w:r>
    </w:p>
    <w:p w14:paraId="6A6C25FB" w14:textId="2BEF3BB2" w:rsidR="00676824" w:rsidRPr="00676824" w:rsidRDefault="00676824" w:rsidP="00676824">
      <w:pPr>
        <w:pStyle w:val="Corpodetexto"/>
        <w:numPr>
          <w:ilvl w:val="0"/>
          <w:numId w:val="6"/>
        </w:numPr>
      </w:pPr>
      <w:r w:rsidRPr="00676824">
        <w:t xml:space="preserve">que o curso seja realizado no período compatível com o calendário institucional da Câmara, sem prejuízo das atividades ordinárias, observando-se cronograma previamente disponibilizado; </w:t>
      </w:r>
    </w:p>
    <w:p w14:paraId="5D224C30" w14:textId="2A644354" w:rsidR="002F3FC7" w:rsidRDefault="002F3FC7" w:rsidP="00676824">
      <w:pPr>
        <w:pStyle w:val="Ttulo1"/>
      </w:pPr>
      <w:r>
        <w:t>Levantamento de mercado e justificativa da escolha</w:t>
      </w:r>
    </w:p>
    <w:p w14:paraId="07D1B1B2" w14:textId="77777777" w:rsidR="002F3FC7" w:rsidRDefault="002F3FC7" w:rsidP="002F3FC7">
      <w:pPr>
        <w:pStyle w:val="Corpodetexto"/>
      </w:pPr>
      <w:r>
        <w:t>O levantamento identificou que a UVESP detém a exclusividade da metodologia do "</w:t>
      </w:r>
      <w:r w:rsidRPr="002F3FC7">
        <w:rPr>
          <w:i/>
          <w:iCs/>
        </w:rPr>
        <w:t>Programa Efetividade Pública</w:t>
      </w:r>
      <w:r>
        <w:t>", o qual é reconhecido por sua adequação à realidade dos legislativos paulistas. Diante da singularidade do programa e da notória especialização da entidade em treinamento de agentes públicos municipais, a solução integrada mostra-se a única capaz de satisfazer plenamente o interesse público envolvido, justificando a inviabilidade de competição.</w:t>
      </w:r>
    </w:p>
    <w:p w14:paraId="6351C417" w14:textId="3FE66DC5" w:rsidR="00676824" w:rsidRDefault="00676824" w:rsidP="002F3FC7">
      <w:pPr>
        <w:pStyle w:val="Corpodetexto"/>
      </w:pPr>
      <w:r w:rsidRPr="00676824">
        <w:lastRenderedPageBreak/>
        <w:t xml:space="preserve">Considerou-se, em caráter teórico, a possibilidade de inscrição de servidores em cursos genéricos de gestão pública ofertados por outras instituições, bem como a opção de treinamento interno, sem contratação externa. Todavia, verificou-se que tais alternativas não reproduzem </w:t>
      </w:r>
      <w:r>
        <w:t xml:space="preserve">semelhante </w:t>
      </w:r>
      <w:r w:rsidRPr="00676824">
        <w:t>arranjo institucional, integração de módulos (incluindo IEGM, reforma tributária e governança municipal articulados</w:t>
      </w:r>
      <w:r>
        <w:t xml:space="preserve">) ou </w:t>
      </w:r>
      <w:r w:rsidRPr="00676824">
        <w:t>proposta de projeto integrador voltado à realidade de Câmaras Municipais, características que compõem o objeto específico pretendido neste processo.</w:t>
      </w:r>
    </w:p>
    <w:p w14:paraId="62C2CB26" w14:textId="0336F45A" w:rsidR="00676824" w:rsidRDefault="00676824" w:rsidP="002F3FC7">
      <w:pPr>
        <w:pStyle w:val="Corpodetexto"/>
      </w:pPr>
      <w:r w:rsidRPr="00676824">
        <w:t>Dessa forma, o levantamento de alternativas levou à conclusão de que, para o programa com o conteúdo, metodologia, certificação e arranjo institucional descritos nos autos, a oferta se concentra na entidade UVESP, o que se coaduna com a hipótese de inviabilidade de competição em razão da singularidade do objeto e da especialização da entidade promotora, nos termos do art. 74, III, “f”, da Lei nº 14.133/2021, aplicável a serviços de treinamento e aperfeiçoamento de pessoal.</w:t>
      </w:r>
    </w:p>
    <w:p w14:paraId="5324CD6C" w14:textId="2F99B75A" w:rsidR="002F3FC7" w:rsidRDefault="002F3FC7" w:rsidP="002F3FC7">
      <w:pPr>
        <w:pStyle w:val="Ttulo1"/>
      </w:pPr>
      <w:r>
        <w:t>Estimativa do valor da contratação</w:t>
      </w:r>
    </w:p>
    <w:p w14:paraId="45E9842C" w14:textId="0C89512A" w:rsidR="002F3FC7" w:rsidRDefault="00676824" w:rsidP="002F3FC7">
      <w:pPr>
        <w:pStyle w:val="Corpodetexto"/>
      </w:pPr>
      <w:r w:rsidRPr="00676824">
        <w:t>A proposta comercial juntada ao processo indica, inicialmente, valor de R$ 29.900,00 por órgão e valor de R$ 26.400,00 para Câmaras filiadas, com limite de até 5 servidores por órgão. Posteriormente</w:t>
      </w:r>
      <w:r w:rsidR="00DE0B4C">
        <w:t xml:space="preserve"> o</w:t>
      </w:r>
      <w:r w:rsidR="002F3FC7">
        <w:t xml:space="preserve"> valor foi negociado para R$ 25.000,00 (vinte e cinco mil reais) pelo pacote corporativo para 10 servidores, resultando em uma economia em relação ao valor inicialmente proposto de R$ 26.400,00 para apenas 5 vagas. O preço mostra-se compatível com a complexidade e duração do curso.</w:t>
      </w:r>
    </w:p>
    <w:p w14:paraId="6A91BAC5" w14:textId="3532D05A" w:rsidR="00DE0B4C" w:rsidRDefault="00DE0B4C" w:rsidP="002F3FC7">
      <w:pPr>
        <w:pStyle w:val="Corpodetexto"/>
      </w:pPr>
      <w:r w:rsidRPr="00DE0B4C">
        <w:t>O valor estimado da contratação, para fins de ETP, é, portanto, de R$ 25.000,00, devendo a justificativa de preço demonstrar a compatibilidade com contratações anteriores ou com valores praticados pela própria UVESP em programas similares, nos termos do art. 23, § 4º, da Lei nº 14.133/2021, quando não for possível estimar por bancos de dados públicos, bem como com o custo médio por participante em capacitações equivalentes.</w:t>
      </w:r>
    </w:p>
    <w:p w14:paraId="1A1449BC" w14:textId="1B0377E7" w:rsidR="002F3FC7" w:rsidRDefault="002F3FC7" w:rsidP="002F3FC7">
      <w:pPr>
        <w:pStyle w:val="Ttulo1"/>
      </w:pPr>
      <w:r>
        <w:t>Descrição da solução</w:t>
      </w:r>
    </w:p>
    <w:p w14:paraId="175D63A7" w14:textId="77777777" w:rsidR="002F3FC7" w:rsidRDefault="002F3FC7" w:rsidP="002F3FC7">
      <w:pPr>
        <w:pStyle w:val="Corpodetexto"/>
      </w:pPr>
      <w:r>
        <w:t xml:space="preserve">A solução consiste na contratação direta por inexigibilidade (art. 74, III, "f") de capacitação intelectual continuada, executada de forma </w:t>
      </w:r>
      <w:r>
        <w:lastRenderedPageBreak/>
        <w:t>remota, com suporte de plataforma tecnológica (AVA). A vigência será limitada ao cronograma acadêmico e à entrega definitiva dos certificados.</w:t>
      </w:r>
    </w:p>
    <w:p w14:paraId="3C7362A3" w14:textId="62D53E1C" w:rsidR="00DE0B4C" w:rsidRDefault="00DE0B4C" w:rsidP="00DE0B4C">
      <w:pPr>
        <w:pStyle w:val="Corpodetexto"/>
      </w:pPr>
      <w:r>
        <w:t xml:space="preserve">O objeto a ser contratado é o de </w:t>
      </w:r>
      <w:r>
        <w:t>serviços educacionais referentes ao “</w:t>
      </w:r>
      <w:r w:rsidRPr="00DE0B4C">
        <w:rPr>
          <w:i/>
          <w:iCs/>
        </w:rPr>
        <w:t>Programa de Formação em Alta Performance na Gestão Pública Municipal – Edição 2026</w:t>
      </w:r>
      <w:r>
        <w:t xml:space="preserve">”, com carga horária total de 102 horas, ofertado em formato híbrido (predominantemente EAD, com fórum presencial) para até 10 servidores indicados pela Câmara Municipal de Pirassununga. </w:t>
      </w:r>
    </w:p>
    <w:p w14:paraId="319BCFD2" w14:textId="77777777" w:rsidR="00DE0B4C" w:rsidRDefault="00DE0B4C" w:rsidP="00DE0B4C">
      <w:pPr>
        <w:pStyle w:val="Corpodetexto"/>
      </w:pPr>
      <w:r>
        <w:t xml:space="preserve">O curso será ministrado por meio de plataforma digital de aprendizagem da entidade promotora, com login individualizado, disponibilização de materiais didáticos digitais, aulas ao vivo e gravadas, atividades avaliativas e acompanhamento pedagógico, além de fórum presencial de integração e apresentação de projetos de excelência municipal. </w:t>
      </w:r>
    </w:p>
    <w:p w14:paraId="05D2A220" w14:textId="41808581" w:rsidR="00DE0B4C" w:rsidRDefault="00DE0B4C" w:rsidP="00DE0B4C">
      <w:pPr>
        <w:pStyle w:val="Corpodetexto"/>
      </w:pPr>
      <w:r>
        <w:t>Os resultados esperados abrangem ampliação da capacidade dos servidores para análise de impactos da reforma tributária, aprimoramento da compreensão sobre IEGM e indicadores de gestão, fortalecimento das práticas de governança e controle, melhor compreensão das mudanças em improbidade administrativa e das regras de responsabilização, bem como desenvolvimento de competências em liderança e gestão de equipes no setor público.</w:t>
      </w:r>
    </w:p>
    <w:p w14:paraId="0F20B40A" w14:textId="77777777" w:rsidR="002F3FC7" w:rsidRDefault="002F3FC7" w:rsidP="002F3FC7">
      <w:pPr>
        <w:pStyle w:val="Ttulo2"/>
      </w:pPr>
      <w:r>
        <w:t xml:space="preserve">Justificativa para o parcelamento ou </w:t>
      </w:r>
      <w:r>
        <w:t>não do objeto.</w:t>
      </w:r>
    </w:p>
    <w:p w14:paraId="1135F48F" w14:textId="77777777" w:rsidR="00DE0B4C" w:rsidRPr="00DE0B4C" w:rsidRDefault="00DE0B4C" w:rsidP="00DE0B4C">
      <w:pPr>
        <w:pStyle w:val="Corpodetexto"/>
      </w:pPr>
      <w:r w:rsidRPr="00DE0B4C">
        <w:t xml:space="preserve">O objeto apresenta caráter unitário sob a perspectiva pedagógica e contratual, pois o programa é estruturado como curso único, com módulos sequenciais integrados e projeto final que articula os conteúdos ao longo da formação. O fracionamento em módulos isolados, com prestadores diversos, comprometeria a uniformidade metodológica, a coerência curricular e a responsabilidade técnica pela formação. </w:t>
      </w:r>
    </w:p>
    <w:p w14:paraId="5F42A6E9" w14:textId="77777777" w:rsidR="00DE0B4C" w:rsidRPr="00DE0B4C" w:rsidRDefault="00DE0B4C" w:rsidP="00DE0B4C">
      <w:pPr>
        <w:pStyle w:val="Corpodetexto"/>
        <w:rPr>
          <w:rFonts w:ascii="Cambria" w:eastAsia="Microsoft YaHei" w:hAnsi="Cambria" w:cs="Lucida Sans"/>
          <w:b/>
          <w:bCs/>
          <w:kern w:val="20"/>
          <w:sz w:val="36"/>
          <w:szCs w:val="36"/>
          <w14:shadow w14:blurRad="50800" w14:dist="38100" w14:dir="2700000" w14:sx="100000" w14:sy="100000" w14:kx="0" w14:ky="0" w14:algn="tl">
            <w14:srgbClr w14:val="000000">
              <w14:alpha w14:val="60000"/>
            </w14:srgbClr>
          </w14:shadow>
        </w:rPr>
      </w:pPr>
      <w:r w:rsidRPr="00DE0B4C">
        <w:t xml:space="preserve">Por essa razão, entende-se que o parcelamento não é adequado para este caso, considerando-se a necessidade de manutenção da unidade do curso, da responsabilidade pedagógica e da certificação emitida por uma mesma instituição promotora, circunstância compatível com as diretrizes legais para definição do objeto e planejamento da contratação. </w:t>
      </w:r>
    </w:p>
    <w:p w14:paraId="77F6907E" w14:textId="4F0DCB72" w:rsidR="002F3FC7" w:rsidRDefault="002F3FC7" w:rsidP="00DE0B4C">
      <w:pPr>
        <w:pStyle w:val="Ttulo1"/>
      </w:pPr>
      <w:r>
        <w:lastRenderedPageBreak/>
        <w:t>Resultados pretendidos</w:t>
      </w:r>
    </w:p>
    <w:p w14:paraId="41565841" w14:textId="43626B4F" w:rsidR="00DE0B4C" w:rsidRDefault="002F3FC7" w:rsidP="00DE0B4C">
      <w:pPr>
        <w:pStyle w:val="Corpodetexto"/>
      </w:pPr>
      <w:r>
        <w:t>Pretende-se o aprimoramento técnico dos servidores, maior eficiência na gestão pública, melhoria na interlocução com o Tribunal de Contas e mitigação de riscos operacionais por meio da aplicação de boas práticas de governança.</w:t>
      </w:r>
      <w:r w:rsidR="00DE0B4C">
        <w:t xml:space="preserve"> </w:t>
      </w:r>
      <w:r w:rsidR="00DE0B4C">
        <w:t xml:space="preserve">Com a contratação pretendida, visam-se, em síntese, os seguintes resultados institucionais:  </w:t>
      </w:r>
    </w:p>
    <w:p w14:paraId="7EAE7BC2" w14:textId="7770FBCC" w:rsidR="00DE0B4C" w:rsidRDefault="00DE0B4C" w:rsidP="00DE0B4C">
      <w:pPr>
        <w:pStyle w:val="Corpodetexto"/>
        <w:numPr>
          <w:ilvl w:val="0"/>
          <w:numId w:val="8"/>
        </w:numPr>
      </w:pPr>
      <w:r>
        <w:t xml:space="preserve">atualização técnica dos servidores em temas centrais da gestão pública municipal e do processo legislativo, com enfoque na reforma tributária, IEGM, governança e responsabilização; </w:t>
      </w:r>
    </w:p>
    <w:p w14:paraId="06CED0AB" w14:textId="0A833507" w:rsidR="00DE0B4C" w:rsidRDefault="00DE0B4C" w:rsidP="00DE0B4C">
      <w:pPr>
        <w:pStyle w:val="Corpodetexto"/>
        <w:numPr>
          <w:ilvl w:val="0"/>
          <w:numId w:val="8"/>
        </w:numPr>
      </w:pPr>
      <w:r>
        <w:t xml:space="preserve">fortalecimento da capacidade da Câmara Municipal para análise de contas públicas, acompanhamento de contratos e avaliação de riscos administrativos, em consonância com orientações e apontamentos dos órgãos de controle; </w:t>
      </w:r>
    </w:p>
    <w:p w14:paraId="4727E818" w14:textId="6695F5C7" w:rsidR="00DE0B4C" w:rsidRDefault="00DE0B4C" w:rsidP="00DE0B4C">
      <w:pPr>
        <w:pStyle w:val="Corpodetexto"/>
        <w:numPr>
          <w:ilvl w:val="0"/>
          <w:numId w:val="8"/>
        </w:numPr>
      </w:pPr>
      <w:r>
        <w:t xml:space="preserve">melhoria dos fluxos internos de trabalho, a partir da aplicação das ferramentas de gestão de riscos, governança e uso de tecnologias, inclusive inteligência artificial, discutidas ao longo do programa; </w:t>
      </w:r>
    </w:p>
    <w:p w14:paraId="0FE44C85" w14:textId="2202C1E4" w:rsidR="00DE0B4C" w:rsidRDefault="00DE0B4C" w:rsidP="00DE0B4C">
      <w:pPr>
        <w:pStyle w:val="Corpodetexto"/>
        <w:numPr>
          <w:ilvl w:val="0"/>
          <w:numId w:val="8"/>
        </w:numPr>
      </w:pPr>
      <w:r>
        <w:t>incremento da segurança jurídica das atividades desenvolvidas no âmbito da Casa, em razão da maior familiaridade dos servidores com as alterações legislativas recentes, especialmente em matéria de improbidade administrativa, contratações públicas e responsabilidade de agentes públicos.</w:t>
      </w:r>
    </w:p>
    <w:p w14:paraId="01488D8F" w14:textId="17884B97" w:rsidR="002F3FC7" w:rsidRDefault="002F3FC7" w:rsidP="00676824">
      <w:pPr>
        <w:pStyle w:val="Ttulo1"/>
      </w:pPr>
      <w:r>
        <w:t>Providências prévias e dotação orçamentária</w:t>
      </w:r>
    </w:p>
    <w:p w14:paraId="5AC60D14" w14:textId="77777777" w:rsidR="00DE0B4C" w:rsidRPr="00DE0B4C" w:rsidRDefault="00DE0B4C" w:rsidP="00DE0B4C">
      <w:pPr>
        <w:pStyle w:val="Corpodetexto"/>
      </w:pPr>
      <w:r w:rsidRPr="00DE0B4C">
        <w:t xml:space="preserve">Para a formalização da contratação direta, deverão constar dos autos, em observância ao art. 72 da Lei nº 14.133/2021, os seguintes elementos mínimos: documento de formalização da demanda, este Estudo Técnico Preliminar, análise de riscos (quando exigida), termo de referência ou equivalente, estimativa de despesa, parecer jurídico, demonstração de compatibilidade orçamentária, comprovação de regularidade da contratada, razão da escolha da contratada, justificativa de preço e autorização da autoridade competente. </w:t>
      </w:r>
    </w:p>
    <w:p w14:paraId="15D0C0B9" w14:textId="77777777" w:rsidR="00DE0B4C" w:rsidRDefault="00DE0B4C" w:rsidP="00DE0B4C">
      <w:pPr>
        <w:pStyle w:val="Corpodetexto"/>
      </w:pPr>
      <w:r w:rsidRPr="00DE0B4C">
        <w:t xml:space="preserve">Consta dos autos despacho do Presidente determinando à Contabilidade e ao Setor Jurídico a adoção de providências relacionadas à viabilidade orçamentária e jurídica, bem como minuta de contrato já estruturada sob a égide da </w:t>
      </w:r>
      <w:r w:rsidRPr="00DE0B4C">
        <w:lastRenderedPageBreak/>
        <w:t xml:space="preserve">Lei nº 14.133/2021, restando a formalização deste ETP e da análise de riscos como providências relevantes para o completo saneamento da fase preparatória da contratação direta. </w:t>
      </w:r>
    </w:p>
    <w:p w14:paraId="576B58A0" w14:textId="356599F9" w:rsidR="002F3FC7" w:rsidRDefault="002F3FC7" w:rsidP="00DE0B4C">
      <w:pPr>
        <w:pStyle w:val="Corpodetexto"/>
      </w:pPr>
      <w:r>
        <w:t xml:space="preserve">As providências incluem a aprovação </w:t>
      </w:r>
      <w:r w:rsidR="00676824">
        <w:t>do</w:t>
      </w:r>
      <w:r>
        <w:t xml:space="preserve"> ETP, a formalização do Termo de Referência e a conferência da regularidade fiscal da UVESP. A despesa correrá pela Ficha 13 (Funcional Programática 01.122.1044-2.161 – Capacitação de Agentes Públicos), que possui saldo suficiente.</w:t>
      </w:r>
    </w:p>
    <w:p w14:paraId="492BCC5A" w14:textId="77777777" w:rsidR="00DE0B4C" w:rsidRDefault="00DE0B4C" w:rsidP="00DE0B4C">
      <w:pPr>
        <w:pStyle w:val="Corpodetexto"/>
      </w:pPr>
      <w:r>
        <w:t xml:space="preserve">Não foram identificadas contratações correlatas ou interdependentes sem as quais a execução do curso se tornaria inviável, uma vez que a infraestrutura tecnológica necessária (equipamentos de informática e acesso à internet) já integra a estrutura administrativa da Câmara Municipal e não demanda contratação específica adicional. </w:t>
      </w:r>
    </w:p>
    <w:p w14:paraId="701412ED" w14:textId="304B6CD8" w:rsidR="005E57AE" w:rsidRDefault="00DE0B4C" w:rsidP="00DE0B4C">
      <w:pPr>
        <w:pStyle w:val="Corpodetexto"/>
      </w:pPr>
      <w:r>
        <w:t xml:space="preserve">Eventuais despesas acessórias, como deslocamento para participação em fórum presencial, poderão ser tratadas no âmbito da rotina administrativa própria, sem reflexo direto na estrutura contratual do serviço educacional objeto deste ETP.  </w:t>
      </w:r>
    </w:p>
    <w:p w14:paraId="327E8ADB" w14:textId="77777777" w:rsidR="00DE0B4C" w:rsidRDefault="00DE0B4C" w:rsidP="00DE0B4C">
      <w:pPr>
        <w:pStyle w:val="Ttulo1"/>
      </w:pPr>
      <w:r>
        <w:t>Análise de riscos sintética</w:t>
      </w:r>
    </w:p>
    <w:p w14:paraId="474C2B01" w14:textId="2976CB67" w:rsidR="00DE0B4C" w:rsidRDefault="00DE0B4C" w:rsidP="00DE0B4C">
      <w:pPr>
        <w:pStyle w:val="Corpodetexto"/>
      </w:pPr>
      <w:r>
        <w:t>Neste contexto</w:t>
      </w:r>
      <w:r>
        <w:t xml:space="preserve">, identificam-se, de forma sintética, os seguintes riscos principais a serem detalhados na matriz de riscos própria, se exigida:  </w:t>
      </w:r>
    </w:p>
    <w:p w14:paraId="2A378A19" w14:textId="47BC9069" w:rsidR="00DE0B4C" w:rsidRDefault="00DE0B4C" w:rsidP="00DE0B4C">
      <w:pPr>
        <w:pStyle w:val="Corpodetexto"/>
        <w:numPr>
          <w:ilvl w:val="0"/>
          <w:numId w:val="10"/>
        </w:numPr>
      </w:pPr>
      <w:r>
        <w:t xml:space="preserve">risco de insuficiência de demonstração documental da inviabilidade de competição (inexigibilidade), caso não sejam devidamente valorizados, no processo, os elementos que evidenciam a singularidade do programa e a especialização da entidade promotora; </w:t>
      </w:r>
    </w:p>
    <w:p w14:paraId="2FB99A8E" w14:textId="23F9E6FF" w:rsidR="00DE0B4C" w:rsidRDefault="00DE0B4C" w:rsidP="00DE0B4C">
      <w:pPr>
        <w:pStyle w:val="Corpodetexto"/>
        <w:numPr>
          <w:ilvl w:val="0"/>
          <w:numId w:val="10"/>
        </w:numPr>
      </w:pPr>
      <w:r>
        <w:t xml:space="preserve">risco de questionamento do preço, caso a justificativa de valor não seja adequadamente instruída com contratos semelhantes, propostas anteriores ou outras referências idôneas, na forma do art. 23 da Lei nº 14.133/2021; </w:t>
      </w:r>
    </w:p>
    <w:p w14:paraId="7E6AF946" w14:textId="451F890C" w:rsidR="00DE0B4C" w:rsidRDefault="00DE0B4C" w:rsidP="00DE0B4C">
      <w:pPr>
        <w:pStyle w:val="Corpodetexto"/>
        <w:numPr>
          <w:ilvl w:val="0"/>
          <w:numId w:val="10"/>
        </w:numPr>
      </w:pPr>
      <w:r>
        <w:t xml:space="preserve">risco de baixa participação ou aproveitamento dos servidores indicados, caso não haja adequada seleção interna de participantes e planejamento de carga de trabalho, o que deve ser mitigado pela definição prévia de critérios internos de indicação e de acompanhamento de frequência; </w:t>
      </w:r>
    </w:p>
    <w:p w14:paraId="5AA7FBF6" w14:textId="65D964FA" w:rsidR="00DE0B4C" w:rsidRDefault="00DE0B4C" w:rsidP="00DE0B4C">
      <w:pPr>
        <w:pStyle w:val="Corpodetexto"/>
        <w:numPr>
          <w:ilvl w:val="0"/>
          <w:numId w:val="10"/>
        </w:numPr>
      </w:pPr>
      <w:r>
        <w:t xml:space="preserve">risco operacional relacionado a eventuais falhas de acesso à plataforma EAD ou dificuldades tecnológicas, mitigável pela verificação prévia de requisitos mínimos </w:t>
      </w:r>
      <w:r>
        <w:lastRenderedPageBreak/>
        <w:t>de equipamentos e conectividade e pelo suporte técnico oferecido pela entidade promotora.</w:t>
      </w:r>
    </w:p>
    <w:p w14:paraId="0476B9CB" w14:textId="0715CFD8" w:rsidR="00DE0B4C" w:rsidRPr="00DE0B4C" w:rsidRDefault="00DE0B4C" w:rsidP="00DE0B4C">
      <w:pPr>
        <w:pStyle w:val="Corpodetexto"/>
      </w:pPr>
      <w:r w:rsidRPr="00DE0B4C">
        <w:t xml:space="preserve">À vista dos elementos </w:t>
      </w:r>
      <w:r>
        <w:t>disponíveis</w:t>
      </w:r>
      <w:r w:rsidRPr="00DE0B4C">
        <w:t xml:space="preserve"> e das balizas legais aplicáveis ao planejamento das contratações públicas, conclui‑se que a contratação direta dos serviços educacionais objeto deste Estudo Técnico Preliminar se mostra tecnicamente adequada</w:t>
      </w:r>
      <w:r>
        <w:t xml:space="preserve"> </w:t>
      </w:r>
      <w:r w:rsidRPr="00DE0B4C">
        <w:t>ao atendimento da necessidade de capacitação identificada</w:t>
      </w:r>
      <w:r>
        <w:t>, recomendando-se ser</w:t>
      </w:r>
      <w:r w:rsidRPr="00DE0B4C">
        <w:t xml:space="preserve"> observadas as seguintes providência</w:t>
      </w:r>
      <w:r>
        <w:t>s</w:t>
      </w:r>
      <w:r w:rsidRPr="00DE0B4C">
        <w:t xml:space="preserve">:  </w:t>
      </w:r>
    </w:p>
    <w:p w14:paraId="59C263A8" w14:textId="75B52A55" w:rsidR="00DE0B4C" w:rsidRPr="00DE0B4C" w:rsidRDefault="00DE0B4C" w:rsidP="001953C3">
      <w:pPr>
        <w:pStyle w:val="Corpodetexto"/>
        <w:numPr>
          <w:ilvl w:val="0"/>
          <w:numId w:val="12"/>
        </w:numPr>
      </w:pPr>
      <w:r w:rsidRPr="00DE0B4C">
        <w:t xml:space="preserve">formalização do presente ETP nos autos, com assinatura da área demandante; </w:t>
      </w:r>
    </w:p>
    <w:p w14:paraId="117605BE" w14:textId="274298FD" w:rsidR="00DE0B4C" w:rsidRPr="00DE0B4C" w:rsidRDefault="00DE0B4C" w:rsidP="001953C3">
      <w:pPr>
        <w:pStyle w:val="Corpodetexto"/>
        <w:numPr>
          <w:ilvl w:val="0"/>
          <w:numId w:val="12"/>
        </w:numPr>
      </w:pPr>
      <w:r>
        <w:t>ratificação</w:t>
      </w:r>
      <w:r w:rsidRPr="00DE0B4C">
        <w:t xml:space="preserve"> da justificativa de preço, com documentação idônea que demonstre a compatibilidade do valor de R$ 25.000,00 com contratações similares ou com valores praticados pela própria UVESP em programas equivalentes; </w:t>
      </w:r>
    </w:p>
    <w:p w14:paraId="77C6F81A" w14:textId="40F3E545" w:rsidR="00DE0B4C" w:rsidRPr="00DE0B4C" w:rsidRDefault="00DE0B4C" w:rsidP="001953C3">
      <w:pPr>
        <w:pStyle w:val="Corpodetexto"/>
        <w:numPr>
          <w:ilvl w:val="0"/>
          <w:numId w:val="12"/>
        </w:numPr>
      </w:pPr>
      <w:r w:rsidRPr="00DE0B4C">
        <w:t xml:space="preserve">consolidação da motivação da inexigibilidade com base no art. 74, III, “f”, da Lei nº 14.133/2021, destacando a natureza de treinamento e aperfeiçoamento de pessoal, a natureza predominantemente intelectual do serviço, a especialização da entidade e a singularidade do programa descrito; </w:t>
      </w:r>
    </w:p>
    <w:p w14:paraId="2728F27C" w14:textId="67AF6D38" w:rsidR="00DE0B4C" w:rsidRPr="00DE0B4C" w:rsidRDefault="00DE0B4C" w:rsidP="001953C3">
      <w:pPr>
        <w:pStyle w:val="Corpodetexto"/>
        <w:numPr>
          <w:ilvl w:val="0"/>
          <w:numId w:val="12"/>
        </w:numPr>
      </w:pPr>
      <w:r w:rsidRPr="00DE0B4C">
        <w:t xml:space="preserve">verificação e comprovação da regularidade fiscal, trabalhista e jurídica da entidade contratada e da manutenção da disponibilidade orçamentária na dotação indicada; </w:t>
      </w:r>
    </w:p>
    <w:p w14:paraId="78E3B777" w14:textId="4FFDDF6D" w:rsidR="00DE0B4C" w:rsidRDefault="00DE0B4C" w:rsidP="001953C3">
      <w:pPr>
        <w:pStyle w:val="Corpodetexto"/>
        <w:numPr>
          <w:ilvl w:val="0"/>
          <w:numId w:val="12"/>
        </w:numPr>
      </w:pPr>
      <w:r w:rsidRPr="00DE0B4C">
        <w:t>designação do gestor e do fiscal do contrato, na forma do art. 7º e dispositivos correlatos da Lei nº 14.133/2021.</w:t>
      </w:r>
    </w:p>
    <w:p w14:paraId="0DA87A06" w14:textId="4225E8D4" w:rsidR="005E57AE" w:rsidRDefault="005E57AE" w:rsidP="00F83BBC">
      <w:pPr>
        <w:pStyle w:val="Corpodetexto"/>
        <w:ind w:firstLine="0"/>
        <w:jc w:val="center"/>
        <w:rPr>
          <w:b/>
          <w:bCs/>
          <w:sz w:val="18"/>
          <w:szCs w:val="18"/>
        </w:rPr>
      </w:pPr>
    </w:p>
    <w:p w14:paraId="1CFC3B94" w14:textId="77777777" w:rsidR="001953C3" w:rsidRDefault="001953C3" w:rsidP="00F83BBC">
      <w:pPr>
        <w:pStyle w:val="Corpodetexto"/>
        <w:ind w:firstLine="0"/>
        <w:jc w:val="center"/>
        <w:rPr>
          <w:b/>
          <w:bCs/>
          <w:sz w:val="18"/>
          <w:szCs w:val="18"/>
        </w:rPr>
      </w:pPr>
    </w:p>
    <w:p w14:paraId="70233C62" w14:textId="77777777" w:rsidR="001953C3" w:rsidRDefault="001953C3" w:rsidP="00F83BBC">
      <w:pPr>
        <w:pStyle w:val="Corpodetexto"/>
        <w:ind w:firstLine="0"/>
        <w:jc w:val="center"/>
        <w:rPr>
          <w:sz w:val="18"/>
          <w:szCs w:val="18"/>
        </w:rPr>
      </w:pPr>
      <w:r w:rsidRPr="001953C3">
        <w:rPr>
          <w:sz w:val="18"/>
          <w:szCs w:val="18"/>
        </w:rPr>
        <w:t>Dalva Milaré Arruda Lodi</w:t>
      </w:r>
      <w:r>
        <w:rPr>
          <w:sz w:val="18"/>
          <w:szCs w:val="18"/>
        </w:rPr>
        <w:t xml:space="preserve"> </w:t>
      </w:r>
    </w:p>
    <w:p w14:paraId="596B9C95" w14:textId="77777777" w:rsidR="001953C3" w:rsidRDefault="001953C3" w:rsidP="00F83BBC">
      <w:pPr>
        <w:pStyle w:val="Corpodetexto"/>
        <w:ind w:firstLine="0"/>
        <w:jc w:val="center"/>
        <w:rPr>
          <w:sz w:val="18"/>
          <w:szCs w:val="18"/>
        </w:rPr>
      </w:pPr>
    </w:p>
    <w:p w14:paraId="41184E0C" w14:textId="77777777" w:rsidR="001953C3" w:rsidRDefault="001953C3" w:rsidP="00F83BBC">
      <w:pPr>
        <w:pStyle w:val="Corpodetexto"/>
        <w:ind w:firstLine="0"/>
        <w:jc w:val="center"/>
        <w:rPr>
          <w:sz w:val="18"/>
          <w:szCs w:val="18"/>
        </w:rPr>
      </w:pPr>
      <w:r w:rsidRPr="001953C3">
        <w:rPr>
          <w:sz w:val="18"/>
          <w:szCs w:val="18"/>
        </w:rPr>
        <w:t>Flávia Aparecida Ferronato</w:t>
      </w:r>
    </w:p>
    <w:p w14:paraId="3AC1173C" w14:textId="77777777" w:rsidR="001953C3" w:rsidRDefault="001953C3" w:rsidP="00F83BBC">
      <w:pPr>
        <w:pStyle w:val="Corpodetexto"/>
        <w:ind w:firstLine="0"/>
        <w:jc w:val="center"/>
        <w:rPr>
          <w:sz w:val="18"/>
          <w:szCs w:val="18"/>
        </w:rPr>
      </w:pPr>
    </w:p>
    <w:p w14:paraId="2619C5A8" w14:textId="114C8F0B" w:rsidR="001953C3" w:rsidRPr="0071289B" w:rsidRDefault="001953C3" w:rsidP="00F83BBC">
      <w:pPr>
        <w:pStyle w:val="Corpodetexto"/>
        <w:ind w:firstLine="0"/>
        <w:jc w:val="center"/>
        <w:rPr>
          <w:sz w:val="18"/>
          <w:szCs w:val="18"/>
        </w:rPr>
      </w:pPr>
      <w:r w:rsidRPr="001953C3">
        <w:rPr>
          <w:sz w:val="18"/>
          <w:szCs w:val="18"/>
        </w:rPr>
        <w:t xml:space="preserve">Mauro </w:t>
      </w:r>
      <w:proofErr w:type="spellStart"/>
      <w:r w:rsidRPr="001953C3">
        <w:rPr>
          <w:sz w:val="18"/>
          <w:szCs w:val="18"/>
        </w:rPr>
        <w:t>Zamaro</w:t>
      </w:r>
      <w:proofErr w:type="spellEnd"/>
    </w:p>
    <w:sectPr w:rsidR="001953C3" w:rsidRPr="0071289B" w:rsidSect="00BF4FC7">
      <w:headerReference w:type="default" r:id="rId7"/>
      <w:footerReference w:type="default" r:id="rId8"/>
      <w:headerReference w:type="first" r:id="rId9"/>
      <w:footerReference w:type="first" r:id="rId10"/>
      <w:pgSz w:w="11906" w:h="16838"/>
      <w:pgMar w:top="1701" w:right="1134" w:bottom="1134" w:left="1701" w:header="1134"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C3D1" w14:textId="77777777" w:rsidR="007769CD" w:rsidRDefault="007769CD">
      <w:pPr>
        <w:spacing w:before="0" w:after="0" w:line="240" w:lineRule="auto"/>
      </w:pPr>
      <w:r>
        <w:separator/>
      </w:r>
    </w:p>
  </w:endnote>
  <w:endnote w:type="continuationSeparator" w:id="0">
    <w:p w14:paraId="246DC161" w14:textId="77777777" w:rsidR="007769CD" w:rsidRDefault="007769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2160" w14:textId="77777777" w:rsidR="005E57AE" w:rsidRPr="007E4261" w:rsidRDefault="0071289B" w:rsidP="007E4261">
    <w:pPr>
      <w:pStyle w:val="Rodap"/>
      <w:spacing w:before="0" w:after="0" w:line="240" w:lineRule="auto"/>
      <w:ind w:firstLine="0"/>
      <w:jc w:val="center"/>
      <w:rPr>
        <w:rFonts w:asciiTheme="minorHAnsi" w:hAnsiTheme="minorHAnsi" w:cstheme="minorHAnsi"/>
        <w:i/>
        <w:iCs/>
        <w:sz w:val="16"/>
        <w:szCs w:val="16"/>
      </w:rPr>
    </w:pPr>
    <w:r w:rsidRPr="007E4261">
      <w:rPr>
        <w:rFonts w:asciiTheme="minorHAnsi" w:hAnsiTheme="minorHAnsi" w:cstheme="minorHAnsi"/>
        <w:i/>
        <w:iCs/>
        <w:noProof/>
        <w:sz w:val="16"/>
        <w:szCs w:val="16"/>
      </w:rPr>
      <w:drawing>
        <wp:anchor distT="0" distB="0" distL="0" distR="0" simplePos="0" relativeHeight="251659264" behindDoc="1" locked="0" layoutInCell="0" allowOverlap="1" wp14:anchorId="56FEB959" wp14:editId="48E40B20">
          <wp:simplePos x="0" y="0"/>
          <wp:positionH relativeFrom="margin">
            <wp:posOffset>-180340</wp:posOffset>
          </wp:positionH>
          <wp:positionV relativeFrom="page">
            <wp:posOffset>10129520</wp:posOffset>
          </wp:positionV>
          <wp:extent cx="6107430" cy="474345"/>
          <wp:effectExtent l="0" t="0" r="7620" b="1905"/>
          <wp:wrapThrough wrapText="bothSides">
            <wp:wrapPolygon edited="0">
              <wp:start x="0" y="0"/>
              <wp:lineTo x="0" y="20819"/>
              <wp:lineTo x="21560" y="20819"/>
              <wp:lineTo x="21560" y="0"/>
              <wp:lineTo x="0" y="0"/>
            </wp:wrapPolygon>
          </wp:wrapThrough>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rotWithShape="1">
                  <a:blip r:embed="rId1"/>
                  <a:srcRect l="-167" t="-1003" r="-167" b="52876"/>
                  <a:stretch>
                    <a:fillRect/>
                  </a:stretch>
                </pic:blipFill>
                <pic:spPr bwMode="auto">
                  <a:xfrm>
                    <a:off x="0" y="0"/>
                    <a:ext cx="6107430" cy="47434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E4261" w:rsidRPr="007E4261">
      <w:rPr>
        <w:rFonts w:asciiTheme="minorHAnsi" w:hAnsiTheme="minorHAnsi" w:cstheme="minorHAnsi"/>
        <w:i/>
        <w:iCs/>
        <w:sz w:val="16"/>
        <w:szCs w:val="16"/>
      </w:rPr>
      <w:t xml:space="preserve">Página </w:t>
    </w:r>
    <w:r w:rsidR="007E4261" w:rsidRPr="007E4261">
      <w:rPr>
        <w:rFonts w:asciiTheme="minorHAnsi" w:hAnsiTheme="minorHAnsi" w:cstheme="minorHAnsi"/>
        <w:b/>
        <w:bCs/>
        <w:i/>
        <w:iCs/>
        <w:sz w:val="16"/>
        <w:szCs w:val="16"/>
      </w:rPr>
      <w:fldChar w:fldCharType="begin"/>
    </w:r>
    <w:r w:rsidR="007E4261" w:rsidRPr="007E4261">
      <w:rPr>
        <w:rFonts w:asciiTheme="minorHAnsi" w:hAnsiTheme="minorHAnsi" w:cstheme="minorHAnsi"/>
        <w:b/>
        <w:bCs/>
        <w:i/>
        <w:iCs/>
        <w:sz w:val="16"/>
        <w:szCs w:val="16"/>
      </w:rPr>
      <w:instrText>PAGE  \* Arabic  \* MERGEFORMAT</w:instrText>
    </w:r>
    <w:r w:rsidR="007E4261" w:rsidRPr="007E4261">
      <w:rPr>
        <w:rFonts w:asciiTheme="minorHAnsi" w:hAnsiTheme="minorHAnsi" w:cstheme="minorHAnsi"/>
        <w:b/>
        <w:bCs/>
        <w:i/>
        <w:iCs/>
        <w:sz w:val="16"/>
        <w:szCs w:val="16"/>
      </w:rPr>
      <w:fldChar w:fldCharType="separate"/>
    </w:r>
    <w:r w:rsidR="007E4261" w:rsidRPr="007E4261">
      <w:rPr>
        <w:rFonts w:asciiTheme="minorHAnsi" w:hAnsiTheme="minorHAnsi" w:cstheme="minorHAnsi"/>
        <w:b/>
        <w:bCs/>
        <w:i/>
        <w:iCs/>
        <w:sz w:val="16"/>
        <w:szCs w:val="16"/>
      </w:rPr>
      <w:t>1</w:t>
    </w:r>
    <w:r w:rsidR="007E4261" w:rsidRPr="007E4261">
      <w:rPr>
        <w:rFonts w:asciiTheme="minorHAnsi" w:hAnsiTheme="minorHAnsi" w:cstheme="minorHAnsi"/>
        <w:b/>
        <w:bCs/>
        <w:i/>
        <w:iCs/>
        <w:sz w:val="16"/>
        <w:szCs w:val="16"/>
      </w:rPr>
      <w:fldChar w:fldCharType="end"/>
    </w:r>
    <w:r w:rsidR="007E4261" w:rsidRPr="007E4261">
      <w:rPr>
        <w:rFonts w:asciiTheme="minorHAnsi" w:hAnsiTheme="minorHAnsi" w:cstheme="minorHAnsi"/>
        <w:i/>
        <w:iCs/>
        <w:sz w:val="16"/>
        <w:szCs w:val="16"/>
      </w:rPr>
      <w:t xml:space="preserve"> de </w:t>
    </w:r>
    <w:r w:rsidR="007E4261" w:rsidRPr="007E4261">
      <w:rPr>
        <w:rFonts w:asciiTheme="minorHAnsi" w:hAnsiTheme="minorHAnsi" w:cstheme="minorHAnsi"/>
        <w:b/>
        <w:bCs/>
        <w:i/>
        <w:iCs/>
        <w:sz w:val="16"/>
        <w:szCs w:val="16"/>
      </w:rPr>
      <w:fldChar w:fldCharType="begin"/>
    </w:r>
    <w:r w:rsidR="007E4261" w:rsidRPr="007E4261">
      <w:rPr>
        <w:rFonts w:asciiTheme="minorHAnsi" w:hAnsiTheme="minorHAnsi" w:cstheme="minorHAnsi"/>
        <w:b/>
        <w:bCs/>
        <w:i/>
        <w:iCs/>
        <w:sz w:val="16"/>
        <w:szCs w:val="16"/>
      </w:rPr>
      <w:instrText>NUMPAGES  \* Arabic  \* MERGEFORMAT</w:instrText>
    </w:r>
    <w:r w:rsidR="007E4261" w:rsidRPr="007E4261">
      <w:rPr>
        <w:rFonts w:asciiTheme="minorHAnsi" w:hAnsiTheme="minorHAnsi" w:cstheme="minorHAnsi"/>
        <w:b/>
        <w:bCs/>
        <w:i/>
        <w:iCs/>
        <w:sz w:val="16"/>
        <w:szCs w:val="16"/>
      </w:rPr>
      <w:fldChar w:fldCharType="separate"/>
    </w:r>
    <w:r w:rsidR="007E4261" w:rsidRPr="007E4261">
      <w:rPr>
        <w:rFonts w:asciiTheme="minorHAnsi" w:hAnsiTheme="minorHAnsi" w:cstheme="minorHAnsi"/>
        <w:b/>
        <w:bCs/>
        <w:i/>
        <w:iCs/>
        <w:sz w:val="16"/>
        <w:szCs w:val="16"/>
      </w:rPr>
      <w:t>2</w:t>
    </w:r>
    <w:r w:rsidR="007E4261" w:rsidRPr="007E4261">
      <w:rPr>
        <w:rFonts w:asciiTheme="minorHAnsi" w:hAnsiTheme="minorHAnsi" w:cstheme="minorHAnsi"/>
        <w:b/>
        <w:bCs/>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2489" w14:textId="77777777" w:rsidR="005E57AE" w:rsidRDefault="00000000">
    <w:pPr>
      <w:pStyle w:val="Rodap"/>
      <w:jc w:val="left"/>
    </w:pPr>
    <w:r>
      <w:rPr>
        <w:noProof/>
      </w:rPr>
      <w:drawing>
        <wp:anchor distT="0" distB="0" distL="0" distR="0" simplePos="0" relativeHeight="251665408" behindDoc="1" locked="0" layoutInCell="0" allowOverlap="1" wp14:anchorId="1E0132B3" wp14:editId="2F02AD0F">
          <wp:simplePos x="0" y="0"/>
          <wp:positionH relativeFrom="column">
            <wp:align>center</wp:align>
          </wp:positionH>
          <wp:positionV relativeFrom="paragraph">
            <wp:posOffset>635</wp:posOffset>
          </wp:positionV>
          <wp:extent cx="6107430" cy="1005840"/>
          <wp:effectExtent l="0" t="0" r="0" b="0"/>
          <wp:wrapSquare wrapText="largest"/>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rcRect l="-167" t="-1002" r="-167" b="-1002"/>
                  <a:stretch>
                    <a:fillRect/>
                  </a:stretch>
                </pic:blipFill>
                <pic:spPr bwMode="auto">
                  <a:xfrm>
                    <a:off x="0" y="0"/>
                    <a:ext cx="6107430" cy="1005840"/>
                  </a:xfrm>
                  <a:prstGeom prst="rect">
                    <a:avLst/>
                  </a:prstGeom>
                  <a:solidFill>
                    <a:srgbClr val="FFFFFF"/>
                  </a:solid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6010" w14:textId="77777777" w:rsidR="007769CD" w:rsidRDefault="007769CD">
      <w:pPr>
        <w:spacing w:before="0" w:after="0" w:line="240" w:lineRule="auto"/>
      </w:pPr>
      <w:r>
        <w:separator/>
      </w:r>
    </w:p>
  </w:footnote>
  <w:footnote w:type="continuationSeparator" w:id="0">
    <w:p w14:paraId="42BCA422" w14:textId="77777777" w:rsidR="007769CD" w:rsidRDefault="007769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72CB" w14:textId="77777777" w:rsidR="005E57AE" w:rsidRDefault="00000000" w:rsidP="0071289B">
    <w:pPr>
      <w:pStyle w:val="Cabealho"/>
      <w:spacing w:before="0" w:after="0" w:line="240" w:lineRule="auto"/>
      <w:jc w:val="left"/>
    </w:pPr>
    <w:r>
      <w:rPr>
        <w:noProof/>
      </w:rPr>
      <w:drawing>
        <wp:anchor distT="0" distB="0" distL="0" distR="0" simplePos="0" relativeHeight="251653120" behindDoc="1" locked="0" layoutInCell="0" allowOverlap="1" wp14:anchorId="0AF01944" wp14:editId="6F20500D">
          <wp:simplePos x="0" y="0"/>
          <wp:positionH relativeFrom="column">
            <wp:posOffset>-138747</wp:posOffset>
          </wp:positionH>
          <wp:positionV relativeFrom="page">
            <wp:posOffset>95250</wp:posOffset>
          </wp:positionV>
          <wp:extent cx="6107430" cy="1005840"/>
          <wp:effectExtent l="0" t="0" r="7620" b="3810"/>
          <wp:wrapTight wrapText="largest">
            <wp:wrapPolygon edited="0">
              <wp:start x="0" y="0"/>
              <wp:lineTo x="0" y="21273"/>
              <wp:lineTo x="21560" y="21273"/>
              <wp:lineTo x="21560" y="0"/>
              <wp:lineTo x="0" y="0"/>
            </wp:wrapPolygon>
          </wp:wrapTigh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67" t="-1002" r="-167" b="-1002"/>
                  <a:stretch>
                    <a:fillRect/>
                  </a:stretch>
                </pic:blipFill>
                <pic:spPr bwMode="auto">
                  <a:xfrm>
                    <a:off x="0" y="0"/>
                    <a:ext cx="6107430" cy="100584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71CB" w14:textId="77777777" w:rsidR="005E57AE" w:rsidRDefault="00000000">
    <w:pPr>
      <w:pStyle w:val="Cabealho"/>
      <w:jc w:val="left"/>
    </w:pPr>
    <w:r>
      <w:rPr>
        <w:noProof/>
      </w:rPr>
      <w:drawing>
        <wp:anchor distT="0" distB="0" distL="0" distR="0" simplePos="0" relativeHeight="251656192" behindDoc="1" locked="0" layoutInCell="0" allowOverlap="1" wp14:anchorId="3DAF339A" wp14:editId="055B6368">
          <wp:simplePos x="0" y="0"/>
          <wp:positionH relativeFrom="column">
            <wp:posOffset>0</wp:posOffset>
          </wp:positionH>
          <wp:positionV relativeFrom="paragraph">
            <wp:posOffset>-523875</wp:posOffset>
          </wp:positionV>
          <wp:extent cx="6107430" cy="1005840"/>
          <wp:effectExtent l="0" t="0" r="0" b="0"/>
          <wp:wrapSquare wrapText="largest"/>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167" t="-1002" r="-167" b="-1002"/>
                  <a:stretch>
                    <a:fillRect/>
                  </a:stretch>
                </pic:blipFill>
                <pic:spPr bwMode="auto">
                  <a:xfrm>
                    <a:off x="0" y="0"/>
                    <a:ext cx="6107430" cy="10058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DDD"/>
    <w:multiLevelType w:val="hybridMultilevel"/>
    <w:tmpl w:val="47E0CEC0"/>
    <w:lvl w:ilvl="0" w:tplc="FEB4F0E0">
      <w:start w:val="1"/>
      <w:numFmt w:val="lowerLetter"/>
      <w:lvlText w:val="%1)"/>
      <w:lvlJc w:val="left"/>
      <w:pPr>
        <w:ind w:left="4449" w:hanging="48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1" w15:restartNumberingAfterBreak="0">
    <w:nsid w:val="17DC17CB"/>
    <w:multiLevelType w:val="multilevel"/>
    <w:tmpl w:val="E774DF74"/>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DE34B0"/>
    <w:multiLevelType w:val="hybridMultilevel"/>
    <w:tmpl w:val="E806D744"/>
    <w:lvl w:ilvl="0" w:tplc="19B4954C">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3" w15:restartNumberingAfterBreak="0">
    <w:nsid w:val="19F0445A"/>
    <w:multiLevelType w:val="hybridMultilevel"/>
    <w:tmpl w:val="CB78571C"/>
    <w:lvl w:ilvl="0" w:tplc="21EEFC0A">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4" w15:restartNumberingAfterBreak="0">
    <w:nsid w:val="1A8D49C0"/>
    <w:multiLevelType w:val="multilevel"/>
    <w:tmpl w:val="278ED0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29612929"/>
    <w:multiLevelType w:val="multilevel"/>
    <w:tmpl w:val="92846E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AD32B36"/>
    <w:multiLevelType w:val="multilevel"/>
    <w:tmpl w:val="BF7EDE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32592ABD"/>
    <w:multiLevelType w:val="hybridMultilevel"/>
    <w:tmpl w:val="97F4F47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5E938A8"/>
    <w:multiLevelType w:val="hybridMultilevel"/>
    <w:tmpl w:val="96E42A6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8523EAF"/>
    <w:multiLevelType w:val="hybridMultilevel"/>
    <w:tmpl w:val="140462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147CDA"/>
    <w:multiLevelType w:val="hybridMultilevel"/>
    <w:tmpl w:val="302C6BD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78F80D2D"/>
    <w:multiLevelType w:val="hybridMultilevel"/>
    <w:tmpl w:val="D1F2EAD2"/>
    <w:lvl w:ilvl="0" w:tplc="EB72274C">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num w:numId="1" w16cid:durableId="1490751687">
    <w:abstractNumId w:val="1"/>
  </w:num>
  <w:num w:numId="2" w16cid:durableId="586112188">
    <w:abstractNumId w:val="4"/>
  </w:num>
  <w:num w:numId="3" w16cid:durableId="1642609635">
    <w:abstractNumId w:val="5"/>
  </w:num>
  <w:num w:numId="4" w16cid:durableId="1879395975">
    <w:abstractNumId w:val="6"/>
  </w:num>
  <w:num w:numId="5" w16cid:durableId="1897744271">
    <w:abstractNumId w:val="1"/>
  </w:num>
  <w:num w:numId="6" w16cid:durableId="2058702628">
    <w:abstractNumId w:val="10"/>
  </w:num>
  <w:num w:numId="7" w16cid:durableId="634414593">
    <w:abstractNumId w:val="2"/>
  </w:num>
  <w:num w:numId="8" w16cid:durableId="2082752471">
    <w:abstractNumId w:val="8"/>
  </w:num>
  <w:num w:numId="9" w16cid:durableId="1083798822">
    <w:abstractNumId w:val="11"/>
  </w:num>
  <w:num w:numId="10" w16cid:durableId="1752390392">
    <w:abstractNumId w:val="7"/>
  </w:num>
  <w:num w:numId="11" w16cid:durableId="1247690962">
    <w:abstractNumId w:val="0"/>
  </w:num>
  <w:num w:numId="12" w16cid:durableId="1828354424">
    <w:abstractNumId w:val="9"/>
  </w:num>
  <w:num w:numId="13" w16cid:durableId="1680539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09"/>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C7"/>
    <w:rsid w:val="000D4CA5"/>
    <w:rsid w:val="000F6564"/>
    <w:rsid w:val="001510CE"/>
    <w:rsid w:val="001568A0"/>
    <w:rsid w:val="0016388E"/>
    <w:rsid w:val="001953C3"/>
    <w:rsid w:val="001F46C9"/>
    <w:rsid w:val="002F3FC7"/>
    <w:rsid w:val="00400544"/>
    <w:rsid w:val="0052637A"/>
    <w:rsid w:val="005E57AE"/>
    <w:rsid w:val="00672A15"/>
    <w:rsid w:val="00676824"/>
    <w:rsid w:val="0071289B"/>
    <w:rsid w:val="0074376C"/>
    <w:rsid w:val="007769CD"/>
    <w:rsid w:val="007D0D5F"/>
    <w:rsid w:val="007E4261"/>
    <w:rsid w:val="00833640"/>
    <w:rsid w:val="008438C5"/>
    <w:rsid w:val="00874B1A"/>
    <w:rsid w:val="008F6B4C"/>
    <w:rsid w:val="009B0F33"/>
    <w:rsid w:val="00AE20B2"/>
    <w:rsid w:val="00B64EF4"/>
    <w:rsid w:val="00BA3256"/>
    <w:rsid w:val="00BF4FC7"/>
    <w:rsid w:val="00C15FCD"/>
    <w:rsid w:val="00CA2AA0"/>
    <w:rsid w:val="00CB633A"/>
    <w:rsid w:val="00D96E56"/>
    <w:rsid w:val="00DE0B4C"/>
    <w:rsid w:val="00E84723"/>
    <w:rsid w:val="00EB5FDB"/>
    <w:rsid w:val="00EC429A"/>
    <w:rsid w:val="00EE7D5B"/>
    <w:rsid w:val="00F83B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3091"/>
  <w15:docId w15:val="{7C413462-A343-4361-B674-6D261A96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FC7"/>
    <w:pPr>
      <w:tabs>
        <w:tab w:val="left" w:pos="0"/>
      </w:tabs>
      <w:spacing w:before="120" w:after="240" w:line="300" w:lineRule="auto"/>
      <w:ind w:firstLine="3969"/>
      <w:contextualSpacing/>
      <w:jc w:val="both"/>
    </w:pPr>
    <w:rPr>
      <w:rFonts w:ascii="Times New Roman" w:hAnsi="Times New Roman"/>
      <w:kern w:val="2"/>
    </w:rPr>
  </w:style>
  <w:style w:type="paragraph" w:styleId="Ttulo1">
    <w:name w:val="heading 1"/>
    <w:basedOn w:val="Ttulouser"/>
    <w:next w:val="Corpodetexto"/>
    <w:uiPriority w:val="9"/>
    <w:qFormat/>
    <w:rsid w:val="00874B1A"/>
    <w:pPr>
      <w:numPr>
        <w:numId w:val="5"/>
      </w:numPr>
      <w:spacing w:after="240" w:line="360" w:lineRule="auto"/>
      <w:jc w:val="both"/>
      <w:outlineLvl w:val="0"/>
    </w:pPr>
    <w:rPr>
      <w:rFonts w:ascii="Cambria" w:hAnsi="Cambria"/>
      <w:b/>
      <w:bCs/>
      <w:kern w:val="20"/>
      <w:sz w:val="36"/>
      <w:szCs w:val="36"/>
      <w14:shadow w14:blurRad="50800" w14:dist="38100" w14:dir="2700000" w14:sx="100000" w14:sy="100000" w14:kx="0" w14:ky="0" w14:algn="tl">
        <w14:srgbClr w14:val="000000">
          <w14:alpha w14:val="60000"/>
        </w14:srgbClr>
      </w14:shadow>
    </w:rPr>
  </w:style>
  <w:style w:type="paragraph" w:styleId="Ttulo2">
    <w:name w:val="heading 2"/>
    <w:basedOn w:val="Ttulo1"/>
    <w:next w:val="Corpodetexto"/>
    <w:uiPriority w:val="9"/>
    <w:unhideWhenUsed/>
    <w:qFormat/>
    <w:rsid w:val="00F83BBC"/>
    <w:pPr>
      <w:numPr>
        <w:numId w:val="0"/>
      </w:numPr>
      <w:tabs>
        <w:tab w:val="left" w:pos="0"/>
      </w:tabs>
      <w:spacing w:before="200"/>
      <w:ind w:right="567"/>
      <w:outlineLvl w:val="1"/>
    </w:pPr>
    <w:rPr>
      <w:bCs w:val="0"/>
      <w:color w:val="262626" w:themeColor="text1" w:themeTint="D9"/>
      <w:szCs w:val="32"/>
    </w:rPr>
  </w:style>
  <w:style w:type="paragraph" w:styleId="Ttulo3">
    <w:name w:val="heading 3"/>
    <w:basedOn w:val="Ttulo2"/>
    <w:next w:val="Corpodetexto"/>
    <w:link w:val="Ttulo3Char"/>
    <w:uiPriority w:val="9"/>
    <w:semiHidden/>
    <w:unhideWhenUsed/>
    <w:qFormat/>
    <w:rsid w:val="00F83BBC"/>
    <w:pPr>
      <w:keepLines/>
      <w:spacing w:before="120" w:after="120"/>
      <w:ind w:right="851"/>
      <w:outlineLvl w:val="2"/>
    </w:pPr>
    <w:rPr>
      <w:rFonts w:eastAsiaTheme="majorEastAsia" w:cs="Mangal"/>
      <w:sz w:val="32"/>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Sutil">
    <w:name w:val="Subtle Emphasis"/>
    <w:basedOn w:val="Fontepargpadro"/>
    <w:uiPriority w:val="19"/>
    <w:rsid w:val="00400544"/>
    <w:rPr>
      <w:i/>
      <w:iCs/>
      <w:color w:val="404040" w:themeColor="text1" w:themeTint="BF"/>
    </w:rPr>
  </w:style>
  <w:style w:type="character" w:styleId="Forte">
    <w:name w:val="Strong"/>
    <w:rPr>
      <w:b/>
      <w:bCs/>
    </w:rPr>
  </w:style>
  <w:style w:type="character" w:customStyle="1" w:styleId="Caracteresdenotadefimuser">
    <w:name w:val="Caracteres de nota de fim (user)"/>
  </w:style>
  <w:style w:type="character" w:customStyle="1" w:styleId="Caracteresdenotadefim">
    <w:name w:val="Caracteres de nota de fim"/>
    <w:rPr>
      <w:vertAlign w:val="superscript"/>
    </w:rPr>
  </w:style>
  <w:style w:type="character" w:styleId="Refdenotadefim">
    <w:name w:val="endnote reference"/>
    <w:rPr>
      <w:vertAlign w:val="superscript"/>
    </w:rPr>
  </w:style>
  <w:style w:type="character" w:customStyle="1" w:styleId="Caracteresdenotaderodapuser">
    <w:name w:val="Caracteres de nota de rodapé (user)"/>
  </w:style>
  <w:style w:type="character" w:customStyle="1" w:styleId="Caracteresdenotaderodap">
    <w:name w:val="Caracteres de nota de rodapé"/>
    <w:qFormat/>
    <w:rsid w:val="008F6B4C"/>
    <w:rPr>
      <w:rFonts w:asciiTheme="majorHAnsi" w:hAnsiTheme="majorHAnsi"/>
      <w:sz w:val="18"/>
      <w:vertAlign w:val="superscript"/>
    </w:rPr>
  </w:style>
  <w:style w:type="character" w:styleId="Refdenotaderodap">
    <w:name w:val="footnote reference"/>
    <w:rPr>
      <w:vertAlign w:val="superscript"/>
    </w:rPr>
  </w:style>
  <w:style w:type="character" w:customStyle="1" w:styleId="Marcadoresuser">
    <w:name w:val="Marcadores (user)"/>
    <w:rPr>
      <w:rFonts w:ascii="OpenSymbol" w:eastAsia="OpenSymbol" w:hAnsi="OpenSymbol" w:cs="OpenSymbol"/>
    </w:rPr>
  </w:style>
  <w:style w:type="character" w:customStyle="1" w:styleId="CorpodetextoChar">
    <w:name w:val="Corpo de texto Char"/>
    <w:basedOn w:val="Fontepargpadro"/>
    <w:rPr>
      <w:rFonts w:ascii="Times New Roman" w:hAnsi="Times New Roman" w:cs="Times New Roman"/>
      <w:kern w:val="2"/>
    </w:rPr>
  </w:style>
  <w:style w:type="paragraph" w:styleId="Ttulo">
    <w:name w:val="Title"/>
    <w:basedOn w:val="Normal"/>
    <w:next w:val="Corpodetexto"/>
    <w:uiPriority w:val="10"/>
    <w:qFormat/>
    <w:rsid w:val="00F83BBC"/>
    <w:pPr>
      <w:keepNext/>
      <w:spacing w:before="238" w:after="227"/>
      <w:ind w:firstLine="567"/>
    </w:pPr>
    <w:rPr>
      <w:rFonts w:ascii="Cambria" w:eastAsia="Microsoft YaHei" w:hAnsi="Cambria"/>
      <w:b/>
      <w:sz w:val="44"/>
      <w:szCs w:val="28"/>
    </w:rPr>
  </w:style>
  <w:style w:type="paragraph" w:styleId="Corpodetexto">
    <w:name w:val="Body Text"/>
    <w:basedOn w:val="Normal"/>
    <w:qFormat/>
    <w:rsid w:val="008438C5"/>
    <w:pPr>
      <w:tabs>
        <w:tab w:val="left" w:pos="2268"/>
        <w:tab w:val="left" w:pos="3969"/>
      </w:tabs>
      <w:spacing w:line="360" w:lineRule="auto"/>
    </w:pPr>
    <w:rPr>
      <w:kern w:val="22"/>
    </w:rPr>
  </w:style>
  <w:style w:type="paragraph" w:styleId="Lista">
    <w:name w:val="List"/>
    <w:basedOn w:val="Corpodetexto"/>
  </w:style>
  <w:style w:type="paragraph" w:styleId="Legenda">
    <w:name w:val="caption"/>
    <w:basedOn w:val="Normal"/>
    <w:qFormat/>
    <w:pPr>
      <w:suppressLineNumbers/>
      <w:spacing w:after="120"/>
    </w:pPr>
    <w:rPr>
      <w:i/>
      <w:iCs/>
    </w:rPr>
  </w:style>
  <w:style w:type="paragraph" w:customStyle="1" w:styleId="ndice">
    <w:name w:val="Índice"/>
    <w:basedOn w:val="Normal"/>
    <w:qFormat/>
    <w:pPr>
      <w:suppressLineNumbers/>
    </w:pPr>
  </w:style>
  <w:style w:type="paragraph" w:customStyle="1" w:styleId="Ttulouser">
    <w:name w:val="Título (user)"/>
    <w:next w:val="Corpodetexto"/>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pPr>
      <w:suppressLineNumbers/>
    </w:pPr>
    <w:rPr>
      <w:rFonts w:cs="Lucida Sans"/>
    </w:rPr>
  </w:style>
  <w:style w:type="paragraph" w:customStyle="1" w:styleId="Caption11">
    <w:name w:val="Caption11"/>
    <w:basedOn w:val="Normal"/>
    <w:pPr>
      <w:suppressLineNumbers/>
      <w:spacing w:after="120"/>
    </w:pPr>
    <w:rPr>
      <w:i/>
      <w:iCs/>
    </w:rPr>
  </w:style>
  <w:style w:type="paragraph" w:customStyle="1" w:styleId="CabealhoeRodap">
    <w:name w:val="Cabeçalho e Rodapé"/>
    <w:basedOn w:val="Normal"/>
    <w:pPr>
      <w:suppressLineNumbers/>
      <w:tabs>
        <w:tab w:val="clear" w:pos="0"/>
        <w:tab w:val="center" w:pos="4819"/>
        <w:tab w:val="right" w:pos="9638"/>
      </w:tabs>
    </w:pPr>
  </w:style>
  <w:style w:type="paragraph" w:customStyle="1" w:styleId="Cabealhoerodap1">
    <w:name w:val="Cabeçalho e rodapé1"/>
    <w:basedOn w:val="Normal"/>
    <w:pPr>
      <w:suppressLineNumbers/>
      <w:tabs>
        <w:tab w:val="clear" w:pos="0"/>
        <w:tab w:val="center" w:pos="4819"/>
        <w:tab w:val="right" w:pos="9638"/>
      </w:tabs>
    </w:pPr>
  </w:style>
  <w:style w:type="paragraph" w:customStyle="1" w:styleId="Cabealhoerodap2">
    <w:name w:val="Cabeçalho e rodapé2"/>
    <w:basedOn w:val="Normal"/>
  </w:style>
  <w:style w:type="paragraph" w:customStyle="1" w:styleId="Cabealhoerodap3">
    <w:name w:val="Cabeçalho e rodapé3"/>
    <w:basedOn w:val="Normal"/>
  </w:style>
  <w:style w:type="paragraph" w:styleId="Cabealho">
    <w:name w:val="header"/>
    <w:basedOn w:val="CabealhoeRodap"/>
  </w:style>
  <w:style w:type="paragraph" w:styleId="Rodap">
    <w:name w:val="footer"/>
    <w:basedOn w:val="CabealhoeRodap"/>
  </w:style>
  <w:style w:type="paragraph" w:styleId="Subttulo">
    <w:name w:val="Subtitle"/>
    <w:basedOn w:val="Normal"/>
    <w:next w:val="Corpodetexto"/>
    <w:uiPriority w:val="11"/>
    <w:qFormat/>
    <w:rPr>
      <w:rFonts w:cs="Times New Roman"/>
      <w:b/>
      <w:bCs/>
      <w:i/>
      <w:iCs/>
      <w:u w:val="single"/>
    </w:rPr>
  </w:style>
  <w:style w:type="paragraph" w:customStyle="1" w:styleId="Contedodatabela">
    <w:name w:val="Conteúdo da tabela"/>
    <w:basedOn w:val="Normal"/>
    <w:pPr>
      <w:widowControl w:val="0"/>
      <w:suppressLineNumbers/>
    </w:pPr>
  </w:style>
  <w:style w:type="paragraph" w:customStyle="1" w:styleId="Ttulodetabela">
    <w:name w:val="Título de tabela"/>
    <w:basedOn w:val="Contedodatabela"/>
    <w:pPr>
      <w:jc w:val="center"/>
    </w:pPr>
    <w:rPr>
      <w:b/>
      <w:bCs/>
    </w:rPr>
  </w:style>
  <w:style w:type="paragraph" w:customStyle="1" w:styleId="EmentaParecer">
    <w:name w:val="Ementa Parecer"/>
    <w:next w:val="Corpodetexto"/>
    <w:qFormat/>
    <w:rsid w:val="008F6B4C"/>
    <w:pPr>
      <w:shd w:val="pct5" w:color="auto" w:fill="D9D9D9" w:themeFill="background1" w:themeFillShade="D9"/>
      <w:ind w:left="4535"/>
    </w:pPr>
    <w:rPr>
      <w:rFonts w:ascii="Arial" w:hAnsi="Arial"/>
      <w:color w:val="000000" w:themeColor="text1"/>
      <w:kern w:val="20"/>
      <w:sz w:val="20"/>
      <w14:cntxtAlts/>
    </w:rPr>
  </w:style>
  <w:style w:type="paragraph" w:customStyle="1" w:styleId="CitaoDireta">
    <w:name w:val="Citação Direta"/>
    <w:next w:val="Corpodetexto"/>
    <w:qFormat/>
    <w:rsid w:val="00F83BBC"/>
    <w:pPr>
      <w:pBdr>
        <w:top w:val="inset" w:sz="18" w:space="1" w:color="0369A3" w:themeColor="accent2"/>
        <w:bottom w:val="inset" w:sz="18" w:space="1" w:color="0369A3" w:themeColor="accent2"/>
      </w:pBdr>
      <w:shd w:val="pct5" w:color="BBE5FD" w:themeColor="accent2" w:themeTint="33" w:fill="auto"/>
      <w:spacing w:before="240" w:after="240"/>
      <w:ind w:left="2268"/>
      <w:jc w:val="both"/>
    </w:pPr>
    <w:rPr>
      <w:rFonts w:ascii="Courier New" w:hAnsi="Courier New"/>
      <w:sz w:val="20"/>
    </w:rPr>
  </w:style>
  <w:style w:type="paragraph" w:styleId="Textodenotadefim">
    <w:name w:val="endnote text"/>
    <w:basedOn w:val="Normal"/>
    <w:pPr>
      <w:suppressLineNumbers/>
      <w:ind w:left="340" w:hanging="340"/>
    </w:pPr>
    <w:rPr>
      <w:sz w:val="20"/>
      <w:szCs w:val="20"/>
    </w:rPr>
  </w:style>
  <w:style w:type="paragraph" w:styleId="Textodenotaderodap">
    <w:name w:val="footnote text"/>
    <w:basedOn w:val="Normal"/>
    <w:pPr>
      <w:suppressLineNumbers/>
      <w:ind w:left="340" w:hanging="340"/>
    </w:pPr>
    <w:rPr>
      <w:sz w:val="20"/>
      <w:szCs w:val="20"/>
    </w:rPr>
  </w:style>
  <w:style w:type="character" w:customStyle="1" w:styleId="Ttulo3Char">
    <w:name w:val="Título 3 Char"/>
    <w:basedOn w:val="Fontepargpadro"/>
    <w:link w:val="Ttulo3"/>
    <w:uiPriority w:val="9"/>
    <w:semiHidden/>
    <w:rsid w:val="00F83BBC"/>
    <w:rPr>
      <w:rFonts w:ascii="Cambria" w:eastAsiaTheme="majorEastAsia" w:hAnsi="Cambria" w:cs="Mangal"/>
      <w:b/>
      <w:color w:val="262626" w:themeColor="text1" w:themeTint="D9"/>
      <w:kern w:val="20"/>
      <w:sz w:val="32"/>
      <w:szCs w:val="21"/>
      <w14:shadow w14:blurRad="50800" w14:dist="38100" w14:dir="2700000" w14:sx="100000" w14:sy="100000" w14:kx="0" w14:ky="0" w14:algn="tl">
        <w14:srgbClr w14:val="000000">
          <w14:alpha w14:val="60000"/>
        </w14:srgbClr>
      </w14:shadow>
    </w:rPr>
  </w:style>
  <w:style w:type="paragraph" w:customStyle="1" w:styleId="Disclaimer">
    <w:name w:val="Disclaimer"/>
    <w:basedOn w:val="Normal"/>
    <w:next w:val="Corpodetexto"/>
    <w:qFormat/>
    <w:rsid w:val="00EC429A"/>
    <w:pPr>
      <w:tabs>
        <w:tab w:val="clear" w:pos="0"/>
      </w:tabs>
      <w:spacing w:before="0" w:after="0" w:line="240" w:lineRule="auto"/>
      <w:ind w:left="3119" w:firstLine="0"/>
    </w:pPr>
    <w:rPr>
      <w:rFonts w:ascii="Calibri" w:hAnsi="Calibri" w:cs="Calibri"/>
      <w:i/>
      <w:color w:val="000000" w:themeColor="text2"/>
      <w:kern w:val="22"/>
      <w:sz w:val="16"/>
      <w:szCs w:val="16"/>
      <w14:textFill>
        <w14:solidFill>
          <w14:schemeClr w14:val="tx2">
            <w14:lumMod w14:val="85000"/>
            <w14:lumOff w14:val="15000"/>
            <w14:lumMod w14:val="65000"/>
            <w14:lumOff w14:val="3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Documents\Modelos%20Personalizados%20do%20Office\MODELO%20TIMBRE%20CMP.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TIMBRE CMP</Template>
  <TotalTime>34</TotalTime>
  <Pages>8</Pages>
  <Words>2448</Words>
  <Characters>13222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Parecer Jurídico</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Jurídico</dc:title>
  <dc:subject>Parecer Jurídico</dc:subject>
  <dc:creator>MAURO ZAMARO</dc:creator>
  <cp:keywords>Parecer Jurídico</cp:keywords>
  <dc:description>PROCURADOR LEGISLATIVO
Descrição  sintética das atribuições: Executa atividades jurídicas manifestando-se sobre questões de interesse da Câmara Municipal, bem como, representa o Poder Legislativo Municipal em questões judiciais e/ou extrajudiciais que necessitem de profissional especializado da área; Possui autonomia técnica, ou seja, independência institucional para manifestação jurídica, consultiva e judicial em defesa dos interesses públicos municipais, observados os princípios e leis que regem a administração pública; Elabora pareceres técnicos sobre os projetos que tramitam na Casa e dá suporte às Comissões e às Diretorias da Casa.</dc:description>
  <cp:lastModifiedBy>Camara Municipal de Pirassununga</cp:lastModifiedBy>
  <cp:revision>1</cp:revision>
  <cp:lastPrinted>2025-02-12T10:01:00Z</cp:lastPrinted>
  <dcterms:created xsi:type="dcterms:W3CDTF">2026-05-04T16:11:00Z</dcterms:created>
  <dcterms:modified xsi:type="dcterms:W3CDTF">2026-05-04T16:45:00Z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Mauro Zamaro</vt:lpwstr>
  </property>
</Properties>
</file>