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1110/2025-SG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657/2025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77E0727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4C3CF32B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Raphael Godoy de Paula</w:t>
      </w:r>
    </w:p>
    <w:p w14:paraId="4A4BB4B3">
      <w:pPr>
        <w:jc w:val="both"/>
        <w:rPr>
          <w:rFonts w:hint="default" w:ascii="Arial" w:hAnsi="Arial"/>
          <w:b w:val="0"/>
          <w:bCs w:val="0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b w:val="0"/>
          <w:bCs w:val="0"/>
          <w:sz w:val="24"/>
          <w:szCs w:val="24"/>
          <w:shd w:val="clear" w:color="auto" w:fill="auto"/>
          <w:lang w:val="pt-BR"/>
        </w:rPr>
        <w:t>Projeto Alcatéia Vila Santa Fé</w:t>
      </w:r>
    </w:p>
    <w:p w14:paraId="0891E379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São Lucas 960  Santa fé</w:t>
      </w:r>
    </w:p>
    <w:p w14:paraId="3448270B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13640-412 – Pirassununga -SP</w:t>
      </w:r>
    </w:p>
    <w:p w14:paraId="62CF4E15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4F861FF7"/>
    <w:rsid w:val="53710851"/>
    <w:rsid w:val="5463197D"/>
    <w:rsid w:val="567F79DC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2025-09-30T15:43:17Z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