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>Of. nº 1469/2025-SG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22 de dezembro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hd w:fill="auto" w:val="clear"/>
        </w:rPr>
        <w:t xml:space="preserve">Encaminho a Vossa Excelência para as providências pertinentes, uma via original da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bidi="ar-SA"/>
        </w:rPr>
        <w:t>via da Lei nº 6.543, de 19 de dezembro de 2025, que dispõe sobre o fornecimento de medicamentos da rede pública municipal de saúde – SUS – aos usuários que apresentem receitas prescritas por médicos de clínicas particulares, conveniados ou cooperados a plano de saúde, mesmo que não atendidos pelo SUS e dá outras providências</w:t>
      </w:r>
      <w:r>
        <w:rPr>
          <w:rFonts w:cs="Arial" w:ascii="Arial" w:hAnsi="Arial"/>
          <w:color w:val="000000"/>
        </w:rPr>
        <w:t xml:space="preserve">, promulgada pelo Poder Legislativo em cumprimento ao §7º do artigo 37 da Lei Orgânica do Município. 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LibreOffice/24.2.5.2$Windows_X86_64 LibreOffice_project/bffef4ea93e59bebbeaf7f431bb02b1a39ee8a59</Application>
  <AppVersion>15.0000</AppVersion>
  <Pages>1</Pages>
  <Words>120</Words>
  <Characters>670</Characters>
  <CharactersWithSpaces>814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2025-12-22T10:29:37Z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