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233/2025-SG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</w:t>
      </w:r>
      <w:bookmarkStart w:id="1" w:name="_GoBack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26C2D6E9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 xml:space="preserve">Marilise Moraes de Souza Wohnrath  </w:t>
      </w:r>
    </w:p>
    <w:p w14:paraId="433A8888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 xml:space="preserve">Diretora da </w:t>
      </w:r>
      <w:r>
        <w:rPr>
          <w:rFonts w:ascii="Arial" w:hAnsi="Arial" w:cs="Arial"/>
          <w:spacing w:val="0"/>
          <w:sz w:val="24"/>
          <w:szCs w:val="24"/>
          <w:lang w:val="pt-BR"/>
        </w:rPr>
        <w:t>EMEF Prof. “Próspero Grisi”</w:t>
      </w:r>
    </w:p>
    <w:p w14:paraId="3B26543A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 xml:space="preserve">Rua Cuiabá, s/nº, Vila Belmiro </w:t>
      </w:r>
    </w:p>
    <w:p w14:paraId="4FF89442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13633-523-Pirassununga-SP</w:t>
      </w:r>
    </w:p>
    <w:p w14:paraId="59B3A7EB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"mailto:emef.prospero.grisi@pirassununga.sp.gov.br"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"mailto:emef.prospero.grisi@pirassununga.sp.gov.br"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f.prospero.grisi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"mailto:emef.prospero.grisi@pirassununga.sp.gov.br"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22107C1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673D3EC0"/>
    <w:rsid w:val="696C7E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2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2025-04-01T13:06:28Z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