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1115/2025-SG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o Requerimento Nº 660/2025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0BEAFA15">
      <w:pPr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shd w:val="clear" w:color="auto" w:fill="auto"/>
          <w:lang w:val="pt-BR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sz w:val="24"/>
          <w:szCs w:val="24"/>
          <w:shd w:val="clear" w:color="auto" w:fill="auto"/>
          <w:lang w:val="pt-BR"/>
        </w:rPr>
        <w:t>Vitor Tuon</w:t>
      </w:r>
    </w:p>
    <w:p w14:paraId="6F76D63C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pt-BR"/>
        </w:rPr>
        <w:t xml:space="preserve">Atleta </w:t>
      </w:r>
    </w:p>
    <w:p w14:paraId="75E602B4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pt-BR"/>
        </w:rPr>
        <w:t>Rua São Lucas 960  Santa fé</w:t>
      </w:r>
    </w:p>
    <w:p w14:paraId="3F47E628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pt-BR"/>
        </w:rPr>
        <w:t>13640-412 – Pirassununga 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A632854"/>
    <w:rsid w:val="4B4B3955"/>
    <w:rsid w:val="53710851"/>
    <w:rsid w:val="5463197D"/>
    <w:rsid w:val="569B456B"/>
    <w:rsid w:val="60C6688F"/>
    <w:rsid w:val="62785CDD"/>
    <w:rsid w:val="62F44D87"/>
    <w:rsid w:val="65574F75"/>
    <w:rsid w:val="66DE0A02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3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2025-10-01T12:07:57Z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