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i/>
          <w:iCs/>
        </w:rPr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</w:rPr>
        <w:t>R$ 70.000,00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>(setenta mil reais)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a3"/>
        <w:tblW w:w="14995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5"/>
        <w:gridCol w:w="2369"/>
        <w:gridCol w:w="2846"/>
        <w:gridCol w:w="4539"/>
        <w:gridCol w:w="2316"/>
      </w:tblGrid>
      <w:tr>
        <w:trPr>
          <w:tblHeader w:val="true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VALOR</w:t>
            </w:r>
          </w:p>
        </w:tc>
      </w:tr>
      <w:tr>
        <w:trPr>
          <w:trHeight w:val="1256" w:hRule="atLeast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Secretaria Municipal de Saúde - 12.01.00</w:t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INVESTIMENTO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(DESPESA DE CAPITAL)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AQUISIÇÃO DE BENS PERMANENTE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>AQUISIÇÃO DA COMPRA DE UM VEÍCULO PARA O TRANSPORTE SANITÁRIO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 xml:space="preserve">PARA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</w:rPr>
              <w:t>SECRETARIA DE SAÚDE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R$ 70.000,00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(setenta mil reais) 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226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Fica indicada e anulada parcialmente, para fazer face à diferença do valor de aumento do recurso financeiro do Programa e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</w:rPr>
        <w:t>R$ 70.000,00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>(setenta mil reais)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, </w:t>
      </w:r>
      <w:r>
        <w:rPr>
          <w:rFonts w:cs="Times New Roman" w:ascii="Times New Roman" w:hAnsi="Times New Roman"/>
        </w:rPr>
        <w:t>na natureza da despesa</w:t>
      </w:r>
      <w:r>
        <w:rPr>
          <w:rFonts w:cs="Times New Roman" w:ascii="Times New Roman" w:hAnsi="Times New Roman"/>
          <w:b/>
          <w:bCs/>
        </w:rPr>
        <w:t xml:space="preserve"> MATERIAL PERMANENTE</w:t>
      </w:r>
      <w:r>
        <w:rPr>
          <w:rFonts w:cs="Times New Roman" w:ascii="Times New Roman" w:hAnsi="Times New Roman"/>
        </w:rPr>
        <w:t xml:space="preserve">, destinada à </w:t>
      </w:r>
      <w:r>
        <w:rPr>
          <w:rFonts w:cs="Times New Roman" w:ascii="Times New Roman" w:hAnsi="Times New Roman"/>
          <w:b/>
          <w:bCs/>
        </w:rPr>
        <w:t>Secretaria Municipal de Saúde</w:t>
      </w:r>
      <w:r>
        <w:rPr>
          <w:rFonts w:cs="Times New Roman" w:ascii="Times New Roman" w:hAnsi="Times New Roman"/>
        </w:rPr>
        <w:t xml:space="preserve">, para </w:t>
      </w:r>
      <w:r>
        <w:rPr>
          <w:rFonts w:cs="Times New Roman" w:ascii="Times New Roman" w:hAnsi="Times New Roman"/>
          <w:b/>
          <w:bCs/>
        </w:rPr>
        <w:t>aquisição de veículo destinado ao transporte sanitário</w:t>
      </w:r>
      <w:r>
        <w:rPr>
          <w:rFonts w:cs="Times New Roman" w:ascii="Times New Roman" w:hAnsi="Times New Roman"/>
        </w:rPr>
        <w:t>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</w:t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</w:t>
      </w:r>
      <w:r>
        <w:rPr>
          <w:rFonts w:eastAsia="Times New Roman" w:cs="Times New Roman" w:ascii="Times New Roman" w:hAnsi="Times New Roman"/>
          <w:b/>
          <w:bCs/>
        </w:rPr>
        <w:t>Emenda Impositiva</w:t>
      </w:r>
      <w:r>
        <w:rPr>
          <w:rFonts w:eastAsia="Times New Roman" w:cs="Times New Roman" w:ascii="Times New Roman" w:hAnsi="Times New Roman"/>
        </w:rPr>
        <w:t xml:space="preserve"> tem por finalidade destinar recursos à </w:t>
      </w:r>
      <w:r>
        <w:rPr>
          <w:rFonts w:eastAsia="Times New Roman" w:cs="Times New Roman" w:ascii="Times New Roman" w:hAnsi="Times New Roman"/>
          <w:b/>
          <w:bCs/>
        </w:rPr>
        <w:t>Secretaria Municipal de Saúde</w:t>
      </w:r>
      <w:r>
        <w:rPr>
          <w:rFonts w:eastAsia="Times New Roman" w:cs="Times New Roman" w:ascii="Times New Roman" w:hAnsi="Times New Roman"/>
        </w:rPr>
        <w:t xml:space="preserve">, na natureza da despesa </w:t>
      </w:r>
      <w:r>
        <w:rPr>
          <w:rFonts w:eastAsia="Times New Roman" w:cs="Times New Roman" w:ascii="Times New Roman" w:hAnsi="Times New Roman"/>
          <w:b/>
          <w:bCs/>
        </w:rPr>
        <w:t>Material Permanente</w:t>
      </w:r>
      <w:r>
        <w:rPr>
          <w:rFonts w:eastAsia="Times New Roman" w:cs="Times New Roman" w:ascii="Times New Roman" w:hAnsi="Times New Roman"/>
        </w:rPr>
        <w:t xml:space="preserve">, para a </w:t>
      </w:r>
      <w:r>
        <w:rPr>
          <w:rFonts w:eastAsia="Times New Roman" w:cs="Times New Roman" w:ascii="Times New Roman" w:hAnsi="Times New Roman"/>
          <w:b/>
          <w:bCs/>
        </w:rPr>
        <w:t>aquisição de veículo destinado ao transporte sanitário</w:t>
      </w:r>
      <w:r>
        <w:rPr>
          <w:rFonts w:eastAsia="Times New Roman" w:cs="Times New Roman" w:ascii="Times New Roman" w:hAnsi="Times New Roman"/>
        </w:rPr>
        <w:t>, visando ao fortalecimento da estrutura de atendimento à população e à melhoria das condições de deslocamento de pacientes no âmbito do Sistema Único de Saúde – SUS.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O transporte sanitário desempenha papel essencial na garantia do </w:t>
      </w:r>
      <w:r>
        <w:rPr>
          <w:rFonts w:eastAsia="Times New Roman" w:cs="Times New Roman" w:ascii="Times New Roman" w:hAnsi="Times New Roman"/>
          <w:b/>
          <w:bCs/>
        </w:rPr>
        <w:t>acesso universal e igualitário aos serviços de saúde</w:t>
      </w:r>
      <w:r>
        <w:rPr>
          <w:rFonts w:eastAsia="Times New Roman" w:cs="Times New Roman" w:ascii="Times New Roman" w:hAnsi="Times New Roman"/>
        </w:rPr>
        <w:t xml:space="preserve">, especialmente para pacientes que necessitam de deslocamento para consultas, exames, tratamentos contínuos, procedimentos especializados e atendimentos fora do domicílio. A disponibilidade de veículos adequados impacta diretamente a </w:t>
      </w:r>
      <w:r>
        <w:rPr>
          <w:rFonts w:eastAsia="Times New Roman" w:cs="Times New Roman" w:ascii="Times New Roman" w:hAnsi="Times New Roman"/>
          <w:b/>
          <w:bCs/>
        </w:rPr>
        <w:t>eficiência do atendimento</w:t>
      </w:r>
      <w:r>
        <w:rPr>
          <w:rFonts w:eastAsia="Times New Roman" w:cs="Times New Roman" w:ascii="Times New Roman" w:hAnsi="Times New Roman"/>
        </w:rPr>
        <w:t xml:space="preserve">, a </w:t>
      </w:r>
      <w:r>
        <w:rPr>
          <w:rFonts w:eastAsia="Times New Roman" w:cs="Times New Roman" w:ascii="Times New Roman" w:hAnsi="Times New Roman"/>
          <w:b/>
          <w:bCs/>
        </w:rPr>
        <w:t>humanização do serviço</w:t>
      </w:r>
      <w:r>
        <w:rPr>
          <w:rFonts w:eastAsia="Times New Roman" w:cs="Times New Roman" w:ascii="Times New Roman" w:hAnsi="Times New Roman"/>
        </w:rPr>
        <w:t xml:space="preserve"> e a </w:t>
      </w:r>
      <w:r>
        <w:rPr>
          <w:rFonts w:eastAsia="Times New Roman" w:cs="Times New Roman" w:ascii="Times New Roman" w:hAnsi="Times New Roman"/>
          <w:b/>
          <w:bCs/>
        </w:rPr>
        <w:t>segurança dos usuários</w:t>
      </w:r>
      <w:r>
        <w:rPr>
          <w:rFonts w:eastAsia="Times New Roman" w:cs="Times New Roman" w:ascii="Times New Roman" w:hAnsi="Times New Roman"/>
        </w:rPr>
        <w:t>, em especial daqueles em situação de maior vulnerabilidade social.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destinação dos recursos encontra respaldo no </w:t>
      </w:r>
      <w:r>
        <w:rPr>
          <w:rFonts w:eastAsia="Times New Roman" w:cs="Times New Roman" w:ascii="Times New Roman" w:hAnsi="Times New Roman"/>
          <w:b/>
          <w:bCs/>
        </w:rPr>
        <w:t>art. 196 da Constituição Federal</w:t>
      </w:r>
      <w:r>
        <w:rPr>
          <w:rFonts w:eastAsia="Times New Roman" w:cs="Times New Roman" w:ascii="Times New Roman" w:hAnsi="Times New Roman"/>
        </w:rPr>
        <w:t xml:space="preserve">, que estabelece a saúde como direito de todos e dever do Estado, bem como na </w:t>
      </w:r>
      <w:r>
        <w:rPr>
          <w:rFonts w:eastAsia="Times New Roman" w:cs="Times New Roman" w:ascii="Times New Roman" w:hAnsi="Times New Roman"/>
          <w:b/>
          <w:bCs/>
        </w:rPr>
        <w:t>Lei Federal nº 8.080/1990</w:t>
      </w:r>
      <w:r>
        <w:rPr>
          <w:rFonts w:eastAsia="Times New Roman" w:cs="Times New Roman" w:ascii="Times New Roman" w:hAnsi="Times New Roman"/>
        </w:rPr>
        <w:t>, que dispõe sobre a organização e o funcionamento do Sistema Único de Saúde, atribuindo ao poder público a responsabilidade pela execução de ações e serviços que assegurem a integralidade da assistência à saúde.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Dessa forma, a presente Emenda Impositiva contribui diretamente para a </w:t>
      </w:r>
      <w:r>
        <w:rPr>
          <w:rFonts w:eastAsia="Times New Roman" w:cs="Times New Roman" w:ascii="Times New Roman" w:hAnsi="Times New Roman"/>
          <w:b/>
          <w:bCs/>
        </w:rPr>
        <w:t>ampliação e qualificação da frota de transporte sanitário</w:t>
      </w:r>
      <w:r>
        <w:rPr>
          <w:rFonts w:eastAsia="Times New Roman" w:cs="Times New Roman" w:ascii="Times New Roman" w:hAnsi="Times New Roman"/>
        </w:rPr>
        <w:t>, promovendo maior agilidade, segurança e dignidade no atendimento aos munícipes, além de reforçar a capacidade operacional da Secretaria Municipal de Saúde no cumprimento de suas atribuições institucionais, em consonância com o interesse público e as normas legais vigentes.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qfNLjerUkg5LLWtQ/MpjEnJ0mag==">CgMxLjA4AHIhMVRiQjdaTFFldTNyemszUEs2am9TZGlXY1cwV0dtTXdi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LibreOffice/25.2.7.2$Windows_X86_64 LibreOffice_project/5cbfd1ab6520636bb5f7b99185aa69bd7456825d</Application>
  <AppVersion>15.0000</AppVersion>
  <Pages>2</Pages>
  <Words>466</Words>
  <Characters>2700</Characters>
  <CharactersWithSpaces>3164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cp:lastPrinted>2025-12-18T14:45:00Z</cp:lastPrinted>
  <dcterms:modified xsi:type="dcterms:W3CDTF">2025-12-19T11:31:10Z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