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R$ 30.000,00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(trinta mil reais)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a4"/>
        <w:tblW w:w="15076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7"/>
        <w:gridCol w:w="2372"/>
        <w:gridCol w:w="2848"/>
        <w:gridCol w:w="5380"/>
        <w:gridCol w:w="1549"/>
      </w:tblGrid>
      <w:tr>
        <w:trPr>
          <w:tblHeader w:val="true"/>
          <w:trHeight w:val="479" w:hRule="atLeast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ÓRGÃO RESPONSÁVEL PRINCIPAL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PROGRAMÁTICA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PROGRAMA 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Ação/objeto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VALOR</w:t>
            </w:r>
          </w:p>
        </w:tc>
      </w:tr>
      <w:tr>
        <w:trPr>
          <w:trHeight w:val="1336" w:hRule="atLeast"/>
        </w:trPr>
        <w:tc>
          <w:tcPr>
            <w:tcW w:w="29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SAEP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17.512.1051-2.252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CUSTEIO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>(DESPESA CORRENTE)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AQUISIÇÃO DE BENS DE CONSUMO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3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Hlk216860672"/>
            <w:r>
              <w:rPr>
                <w:rFonts w:cs="Times New Roman" w:ascii="Times New Roman" w:hAnsi="Times New Roman"/>
                <w:b/>
                <w:bCs/>
                <w:color w:val="000000"/>
              </w:rPr>
              <w:t xml:space="preserve">(COMUNIDADE ABASTECIDA)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216860672"/>
            <w:r>
              <w:rPr>
                <w:rFonts w:cs="Times New Roman" w:ascii="Times New Roman" w:hAnsi="Times New Roman"/>
                <w:b/>
                <w:bCs/>
                <w:color w:val="000000"/>
              </w:rPr>
              <w:t>MANUTENÇÃO DOS SERVIÇOS DE TRATAMENTO DE ÁGUA</w:t>
            </w:r>
            <w:bookmarkEnd w:id="1"/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para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SAEP  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R$ 30.000,00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(trinta mil reais) </w:t>
            </w:r>
          </w:p>
        </w:tc>
      </w:tr>
    </w:tbl>
    <w:p>
      <w:pPr>
        <w:pStyle w:val="Normal"/>
        <w:ind w:firstLine="2268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Fica indicada e parcialmente anulada</w:t>
      </w:r>
      <w:r>
        <w:rPr>
          <w:rFonts w:eastAsia="Times New Roman" w:cs="Times New Roman" w:ascii="Times New Roman" w:hAnsi="Times New Roman"/>
        </w:rPr>
        <w:t xml:space="preserve">, para fazer face à diferença do valor do aumento do recurso financeiro do Programa e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R$ 30.000,00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(trinta mil reais), </w:t>
      </w:r>
      <w:r>
        <w:rPr>
          <w:rFonts w:eastAsia="Times New Roman" w:cs="Times New Roman" w:ascii="Times New Roman" w:hAnsi="Times New Roman"/>
        </w:rPr>
        <w:t xml:space="preserve">na natureza da despesa: </w:t>
      </w:r>
      <w:r>
        <w:rPr>
          <w:rFonts w:eastAsia="Times New Roman" w:cs="Times New Roman" w:ascii="Times New Roman" w:hAnsi="Times New Roman"/>
          <w:b/>
          <w:bCs/>
        </w:rPr>
        <w:t>CUSTEIO (DESPESA CORRENTE)</w:t>
      </w:r>
      <w:r>
        <w:rPr>
          <w:rFonts w:eastAsia="Times New Roman" w:cs="Times New Roman" w:ascii="Times New Roman" w:hAnsi="Times New Roman"/>
        </w:rPr>
        <w:t xml:space="preserve"> destinada à </w:t>
      </w:r>
      <w:r>
        <w:rPr>
          <w:rFonts w:eastAsia="Times New Roman" w:cs="Times New Roman" w:ascii="Times New Roman" w:hAnsi="Times New Roman"/>
          <w:b/>
          <w:bCs/>
        </w:rPr>
        <w:t>SAEP</w:t>
      </w:r>
      <w:r>
        <w:rPr>
          <w:rFonts w:eastAsia="Times New Roman" w:cs="Times New Roman" w:ascii="Times New Roman" w:hAnsi="Times New Roman"/>
        </w:rPr>
        <w:t xml:space="preserve">, para </w:t>
      </w:r>
      <w:r>
        <w:rPr>
          <w:rFonts w:cs="Times New Roman" w:ascii="Times New Roman" w:hAnsi="Times New Roman"/>
          <w:b/>
          <w:bCs/>
          <w:color w:val="000000"/>
        </w:rPr>
        <w:t xml:space="preserve">MANUTENÇÃO DOS SERVIÇOS DE TRATAMENTO DE ÁGUA </w:t>
      </w:r>
      <w:r>
        <w:rPr>
          <w:rFonts w:eastAsia="Times New Roman" w:cs="Times New Roman" w:ascii="Times New Roman" w:hAnsi="Times New Roman"/>
        </w:rPr>
        <w:t xml:space="preserve">destinados à </w:t>
      </w:r>
      <w:r>
        <w:rPr>
          <w:rFonts w:eastAsia="Times New Roman" w:cs="Times New Roman" w:ascii="Times New Roman" w:hAnsi="Times New Roman"/>
          <w:b/>
          <w:bCs/>
        </w:rPr>
        <w:t xml:space="preserve">SISTEMA DE ÁGUA E ESGOTO PIRASSUNUNGA- SAEP </w:t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de recursos, na natureza da despesa </w:t>
      </w:r>
      <w:r>
        <w:rPr>
          <w:rFonts w:eastAsia="Times New Roman" w:cs="Times New Roman" w:ascii="Times New Roman" w:hAnsi="Times New Roman"/>
          <w:b/>
          <w:bCs/>
        </w:rPr>
        <w:t>Custeio (Despesa Corrente)</w:t>
      </w:r>
      <w:r>
        <w:rPr>
          <w:rFonts w:eastAsia="Times New Roman" w:cs="Times New Roman" w:ascii="Times New Roman" w:hAnsi="Times New Roman"/>
        </w:rPr>
        <w:t xml:space="preserve">, tem por finalidade a </w:t>
      </w:r>
      <w:r>
        <w:rPr>
          <w:rFonts w:eastAsia="Times New Roman" w:cs="Times New Roman" w:ascii="Times New Roman" w:hAnsi="Times New Roman"/>
          <w:b/>
          <w:bCs/>
        </w:rPr>
        <w:t>manutenção dos serviços de tratamento de água</w:t>
      </w:r>
      <w:r>
        <w:rPr>
          <w:rFonts w:eastAsia="Times New Roman" w:cs="Times New Roman" w:ascii="Times New Roman" w:hAnsi="Times New Roman"/>
        </w:rPr>
        <w:t xml:space="preserve">, no âmbito do </w:t>
      </w:r>
      <w:r>
        <w:rPr>
          <w:rFonts w:eastAsia="Times New Roman" w:cs="Times New Roman" w:ascii="Times New Roman" w:hAnsi="Times New Roman"/>
          <w:b/>
          <w:bCs/>
        </w:rPr>
        <w:t>Sistema de Água e Esgoto de Pirassununga – SAEP</w:t>
      </w:r>
      <w:r>
        <w:rPr>
          <w:rFonts w:eastAsia="Times New Roman" w:cs="Times New Roman" w:ascii="Times New Roman" w:hAnsi="Times New Roman"/>
        </w:rPr>
        <w:t>, órgão responsável pela execução das políticas públicas de saneamento básico no Município.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ação está vinculada à </w:t>
      </w:r>
      <w:r>
        <w:rPr>
          <w:rFonts w:eastAsia="Times New Roman" w:cs="Times New Roman" w:ascii="Times New Roman" w:hAnsi="Times New Roman"/>
          <w:b/>
          <w:bCs/>
        </w:rPr>
        <w:t>programática 17.512.1051-2.252</w:t>
      </w:r>
      <w:r>
        <w:rPr>
          <w:rFonts w:eastAsia="Times New Roman" w:cs="Times New Roman" w:ascii="Times New Roman" w:hAnsi="Times New Roman"/>
        </w:rPr>
        <w:t xml:space="preserve"> e encontra respaldo no </w:t>
      </w:r>
      <w:r>
        <w:rPr>
          <w:rFonts w:eastAsia="Times New Roman" w:cs="Times New Roman" w:ascii="Times New Roman" w:hAnsi="Times New Roman"/>
          <w:b/>
          <w:bCs/>
        </w:rPr>
        <w:t>Plano Plurianual – PPA</w:t>
      </w:r>
      <w:r>
        <w:rPr>
          <w:rFonts w:eastAsia="Times New Roman" w:cs="Times New Roman" w:ascii="Times New Roman" w:hAnsi="Times New Roman"/>
        </w:rPr>
        <w:t xml:space="preserve">, integrando o programa </w:t>
      </w:r>
      <w:r>
        <w:rPr>
          <w:rFonts w:eastAsia="Times New Roman" w:cs="Times New Roman" w:ascii="Times New Roman" w:hAnsi="Times New Roman"/>
          <w:b/>
          <w:bCs/>
        </w:rPr>
        <w:t>Comunidade Abastecida</w:t>
      </w:r>
      <w:r>
        <w:rPr>
          <w:rFonts w:eastAsia="Times New Roman" w:cs="Times New Roman" w:ascii="Times New Roman" w:hAnsi="Times New Roman"/>
        </w:rPr>
        <w:t xml:space="preserve">, que tem como objetivo ampliar o acesso à água potável, inclusive por meio da </w:t>
      </w:r>
      <w:r>
        <w:rPr>
          <w:rFonts w:eastAsia="Times New Roman" w:cs="Times New Roman" w:ascii="Times New Roman" w:hAnsi="Times New Roman"/>
          <w:b/>
          <w:bCs/>
        </w:rPr>
        <w:t>entrega de caixas d’água</w:t>
      </w:r>
      <w:r>
        <w:rPr>
          <w:rFonts w:eastAsia="Times New Roman" w:cs="Times New Roman" w:ascii="Times New Roman" w:hAnsi="Times New Roman"/>
        </w:rPr>
        <w:t xml:space="preserve"> às famílias em situação de vulnerabilidade social, regularmente </w:t>
      </w:r>
      <w:r>
        <w:rPr>
          <w:rFonts w:eastAsia="Times New Roman" w:cs="Times New Roman" w:ascii="Times New Roman" w:hAnsi="Times New Roman"/>
          <w:b/>
          <w:bCs/>
        </w:rPr>
        <w:t>inscritas no Cadastro Único</w:t>
      </w:r>
      <w:r>
        <w:rPr>
          <w:rFonts w:eastAsia="Times New Roman" w:cs="Times New Roman" w:ascii="Times New Roman" w:hAnsi="Times New Roman"/>
        </w:rPr>
        <w:t>, que não dispõem deste recurso essencial.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O referido programa será executado diretamente pela </w:t>
      </w:r>
      <w:r>
        <w:rPr>
          <w:rFonts w:eastAsia="Times New Roman" w:cs="Times New Roman" w:ascii="Times New Roman" w:hAnsi="Times New Roman"/>
          <w:b/>
          <w:bCs/>
        </w:rPr>
        <w:t>SAEP</w:t>
      </w:r>
      <w:r>
        <w:rPr>
          <w:rFonts w:eastAsia="Times New Roman" w:cs="Times New Roman" w:ascii="Times New Roman" w:hAnsi="Times New Roman"/>
        </w:rPr>
        <w:t>, que possui diretrizes técnicas, capacidade operacional e enquadramento legal para a execução das ações previstas, assegurando a continuidade, a eficiência e a qualidade dos serviços de tratamento e abastecimento de água à população beneficiada.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encontra respaldo no </w:t>
      </w:r>
      <w:r>
        <w:rPr>
          <w:rFonts w:eastAsia="Times New Roman" w:cs="Times New Roman" w:ascii="Times New Roman" w:hAnsi="Times New Roman"/>
          <w:b/>
          <w:bCs/>
        </w:rPr>
        <w:t>art. 33 da Lei Federal nº 13.019/2014</w:t>
      </w:r>
      <w:r>
        <w:rPr>
          <w:rFonts w:eastAsia="Times New Roman" w:cs="Times New Roman" w:ascii="Times New Roman" w:hAnsi="Times New Roman"/>
        </w:rPr>
        <w:t xml:space="preserve"> (Marco Regulatório das Organizações da Sociedade Civil – MROSC), que autoriza a celebração de parcerias entre a Administração Pública e organizações da sociedade civil para a execução de atividades de interesse público, mediante instrumento jurídico adequado, observados os requisitos legais, a transparência na aplicação dos recursos públicos e o controle social, quando aplicável.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Dessa forma, a </w:t>
      </w:r>
      <w:r>
        <w:rPr>
          <w:rFonts w:eastAsia="Times New Roman" w:cs="Times New Roman" w:ascii="Times New Roman" w:hAnsi="Times New Roman"/>
          <w:b/>
          <w:bCs/>
        </w:rPr>
        <w:t>Emenda Impositiva</w:t>
      </w:r>
      <w:r>
        <w:rPr>
          <w:rFonts w:eastAsia="Times New Roman" w:cs="Times New Roman" w:ascii="Times New Roman" w:hAnsi="Times New Roman"/>
        </w:rPr>
        <w:t xml:space="preserve"> ora proposta revela-se </w:t>
      </w:r>
      <w:r>
        <w:rPr>
          <w:rFonts w:eastAsia="Times New Roman" w:cs="Times New Roman" w:ascii="Times New Roman" w:hAnsi="Times New Roman"/>
          <w:b/>
          <w:bCs/>
        </w:rPr>
        <w:t>legítima, necessária e alinhada às normas legais vigentes</w:t>
      </w:r>
      <w:r>
        <w:rPr>
          <w:rFonts w:eastAsia="Times New Roman" w:cs="Times New Roman" w:ascii="Times New Roman" w:hAnsi="Times New Roman"/>
        </w:rPr>
        <w:t>, contribuindo de maneira efetiva para o fortalecimento das ações de saneamento básico, para a promoção da saúde pública e para a melhoria da qualidade de vida da população, especialmente das comunidades em situação de maior vulnerabilidade social.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16fae"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cWixH/dkD43uJJay8wSmORsa6Nw==">CgMxLjA4AHIhMUhQbVhxdnpDUjdzckZ5Nm9OWWZIWlZBX0d2Tnk3V18x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2</Pages>
  <Words>487</Words>
  <Characters>2823</Characters>
  <CharactersWithSpaces>3311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dcterms:modified xsi:type="dcterms:W3CDTF">2025-12-19T11:45:16Z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