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D070" w14:textId="77777777" w:rsidR="003E36D4" w:rsidRDefault="0080311A">
      <w:pPr>
        <w:tabs>
          <w:tab w:val="center" w:pos="4419"/>
          <w:tab w:val="right" w:pos="8838"/>
        </w:tabs>
        <w:jc w:val="center"/>
        <w:rPr>
          <w:rFonts w:ascii="Times New Roman" w:eastAsia="Times New Roman" w:hAnsi="Times New Roman" w:cs="Times New Roman"/>
        </w:rPr>
      </w:pPr>
      <w:r>
        <w:rPr>
          <w:rFonts w:ascii="Times New Roman" w:eastAsia="Times New Roman" w:hAnsi="Times New Roman" w:cs="Times New Roman"/>
          <w:b/>
          <w:bCs/>
          <w:i/>
          <w:iCs/>
        </w:rPr>
        <w:t xml:space="preserve">         EMENDA Nº____________</w:t>
      </w:r>
    </w:p>
    <w:p w14:paraId="4B5611DC" w14:textId="77777777" w:rsidR="003E36D4" w:rsidRDefault="0080311A">
      <w:pPr>
        <w:tabs>
          <w:tab w:val="center" w:pos="4419"/>
          <w:tab w:val="right" w:pos="8838"/>
        </w:tabs>
        <w:rPr>
          <w:rFonts w:ascii="Times New Roman" w:eastAsia="Times New Roman" w:hAnsi="Times New Roman" w:cs="Times New Roman"/>
          <w:b/>
          <w:bCs/>
        </w:rPr>
      </w:pPr>
      <w:r>
        <w:rPr>
          <w:rFonts w:ascii="Times New Roman" w:eastAsia="Times New Roman" w:hAnsi="Times New Roman" w:cs="Times New Roman"/>
          <w:b/>
          <w:bCs/>
        </w:rPr>
        <w:t xml:space="preserve"> </w:t>
      </w:r>
    </w:p>
    <w:p w14:paraId="3FF7EF1A" w14:textId="77777777" w:rsidR="003E36D4" w:rsidRDefault="0080311A">
      <w:pPr>
        <w:tabs>
          <w:tab w:val="center" w:pos="4419"/>
          <w:tab w:val="right" w:pos="8838"/>
        </w:tabs>
        <w:rPr>
          <w:rFonts w:ascii="Times New Roman" w:eastAsia="Times New Roman" w:hAnsi="Times New Roman" w:cs="Times New Roman"/>
        </w:rPr>
      </w:pPr>
      <w:r>
        <w:rPr>
          <w:rFonts w:ascii="Times New Roman" w:eastAsia="Times New Roman" w:hAnsi="Times New Roman" w:cs="Times New Roman"/>
          <w:b/>
          <w:bCs/>
        </w:rPr>
        <w:t>Projeto de Lei nº 78/2025 (e mensagem aditiva nº 01/2025)</w:t>
      </w:r>
    </w:p>
    <w:p w14:paraId="259C8B8B" w14:textId="77777777" w:rsidR="003E36D4" w:rsidRDefault="0080311A">
      <w:pPr>
        <w:tabs>
          <w:tab w:val="center" w:pos="4419"/>
          <w:tab w:val="right" w:pos="8838"/>
        </w:tabs>
        <w:rPr>
          <w:rFonts w:ascii="Times New Roman" w:eastAsia="Times New Roman" w:hAnsi="Times New Roman" w:cs="Times New Roman"/>
        </w:rPr>
      </w:pPr>
      <w:r>
        <w:rPr>
          <w:rFonts w:ascii="Times New Roman" w:eastAsia="Times New Roman" w:hAnsi="Times New Roman" w:cs="Times New Roman"/>
          <w:b/>
          <w:bCs/>
        </w:rPr>
        <w:t>Autoria: Executivo Municipal</w:t>
      </w:r>
    </w:p>
    <w:p w14:paraId="01A217D6" w14:textId="77777777" w:rsidR="003E36D4" w:rsidRDefault="0080311A">
      <w:pPr>
        <w:tabs>
          <w:tab w:val="center" w:pos="4419"/>
          <w:tab w:val="right" w:pos="8838"/>
        </w:tabs>
        <w:jc w:val="both"/>
        <w:rPr>
          <w:rFonts w:ascii="Times New Roman" w:eastAsia="Times New Roman" w:hAnsi="Times New Roman" w:cs="Times New Roman"/>
        </w:rPr>
      </w:pPr>
      <w:r>
        <w:rPr>
          <w:rFonts w:ascii="Times New Roman" w:eastAsia="Times New Roman" w:hAnsi="Times New Roman" w:cs="Times New Roman"/>
          <w:b/>
          <w:bCs/>
        </w:rPr>
        <w:t>Ementa: Estima a Receita e Fixa a Despesa do Município para o Exercício de 2026.</w:t>
      </w:r>
    </w:p>
    <w:p w14:paraId="42791308" w14:textId="77777777" w:rsidR="003E36D4" w:rsidRDefault="003E36D4">
      <w:pPr>
        <w:tabs>
          <w:tab w:val="center" w:pos="4419"/>
          <w:tab w:val="right" w:pos="8838"/>
        </w:tabs>
        <w:ind w:firstLine="2130"/>
        <w:jc w:val="both"/>
        <w:rPr>
          <w:rFonts w:ascii="Times New Roman" w:eastAsia="Times New Roman" w:hAnsi="Times New Roman" w:cs="Times New Roman"/>
          <w:sz w:val="12"/>
          <w:szCs w:val="12"/>
        </w:rPr>
      </w:pPr>
    </w:p>
    <w:p w14:paraId="39DBECC7" w14:textId="77777777" w:rsidR="003E36D4" w:rsidRDefault="003E36D4">
      <w:pPr>
        <w:tabs>
          <w:tab w:val="center" w:pos="4419"/>
          <w:tab w:val="right" w:pos="8838"/>
        </w:tabs>
        <w:ind w:firstLine="2130"/>
        <w:jc w:val="both"/>
        <w:rPr>
          <w:rFonts w:ascii="Times New Roman" w:eastAsia="Times New Roman" w:hAnsi="Times New Roman" w:cs="Times New Roman"/>
          <w:sz w:val="12"/>
          <w:szCs w:val="12"/>
        </w:rPr>
      </w:pPr>
    </w:p>
    <w:p w14:paraId="45176F8D" w14:textId="77777777" w:rsidR="003E36D4" w:rsidRDefault="003E36D4">
      <w:pPr>
        <w:tabs>
          <w:tab w:val="center" w:pos="4419"/>
          <w:tab w:val="right" w:pos="8838"/>
        </w:tabs>
        <w:ind w:firstLine="2130"/>
        <w:jc w:val="both"/>
        <w:rPr>
          <w:rFonts w:ascii="Times New Roman" w:eastAsia="Times New Roman" w:hAnsi="Times New Roman" w:cs="Times New Roman"/>
          <w:sz w:val="12"/>
          <w:szCs w:val="12"/>
        </w:rPr>
      </w:pPr>
    </w:p>
    <w:p w14:paraId="2F1F4539" w14:textId="77777777" w:rsidR="003E36D4" w:rsidRDefault="003E36D4">
      <w:pPr>
        <w:tabs>
          <w:tab w:val="center" w:pos="4419"/>
          <w:tab w:val="right" w:pos="8838"/>
        </w:tabs>
        <w:ind w:firstLine="2130"/>
        <w:jc w:val="both"/>
        <w:rPr>
          <w:rFonts w:ascii="Times New Roman" w:eastAsia="Times New Roman" w:hAnsi="Times New Roman" w:cs="Times New Roman"/>
          <w:sz w:val="12"/>
          <w:szCs w:val="12"/>
        </w:rPr>
      </w:pPr>
    </w:p>
    <w:p w14:paraId="5DAF5CBE" w14:textId="77777777" w:rsidR="003E36D4" w:rsidRDefault="0080311A">
      <w:pPr>
        <w:tabs>
          <w:tab w:val="center" w:pos="4419"/>
          <w:tab w:val="right" w:pos="8838"/>
        </w:tabs>
        <w:ind w:firstLine="2130"/>
        <w:jc w:val="both"/>
        <w:rPr>
          <w:rFonts w:ascii="Times New Roman" w:eastAsia="Times New Roman" w:hAnsi="Times New Roman" w:cs="Times New Roman"/>
        </w:rPr>
      </w:pPr>
      <w:r>
        <w:rPr>
          <w:rFonts w:ascii="Times New Roman" w:eastAsia="Times New Roman" w:hAnsi="Times New Roman" w:cs="Times New Roman"/>
        </w:rPr>
        <w:t xml:space="preserve">Anula-se parcialmente o valor de </w:t>
      </w:r>
      <w:r>
        <w:rPr>
          <w:rFonts w:ascii="Times New Roman" w:eastAsia="Times New Roman" w:hAnsi="Times New Roman" w:cs="Times New Roman"/>
          <w:b/>
          <w:bCs/>
        </w:rPr>
        <w:t>R$ 5.000,00</w:t>
      </w:r>
      <w:r>
        <w:rPr>
          <w:rFonts w:ascii="Times New Roman" w:eastAsia="Times New Roman" w:hAnsi="Times New Roman" w:cs="Times New Roman"/>
        </w:rPr>
        <w:t xml:space="preserve"> </w:t>
      </w:r>
      <w:r>
        <w:rPr>
          <w:rFonts w:ascii="Times New Roman" w:eastAsia="Times New Roman" w:hAnsi="Times New Roman" w:cs="Times New Roman"/>
          <w:b/>
          <w:bCs/>
        </w:rPr>
        <w:t xml:space="preserve">(cinco mil reais) </w:t>
      </w:r>
      <w:r>
        <w:rPr>
          <w:rFonts w:ascii="Times New Roman" w:eastAsia="Times New Roman" w:hAnsi="Times New Roman" w:cs="Times New Roman"/>
        </w:rPr>
        <w:t>do valor de R$ 4.851.046,85 (quatro milhões, oitocentos e cinquenta e um mil, quarenta e seis reais e oitenta e cinco centavos)</w:t>
      </w:r>
      <w:r>
        <w:rPr>
          <w:rFonts w:ascii="Times New Roman" w:eastAsia="Times New Roman" w:hAnsi="Times New Roman" w:cs="Times New Roman"/>
          <w:b/>
          <w:bCs/>
        </w:rPr>
        <w:t xml:space="preserve"> </w:t>
      </w:r>
      <w:r>
        <w:rPr>
          <w:rFonts w:ascii="Times New Roman" w:eastAsia="Times New Roman" w:hAnsi="Times New Roman" w:cs="Times New Roman"/>
        </w:rPr>
        <w:t>previsto para fazer face ao Programa e Ação abaixo indicados, contido no Orçamento Fiscal/Seguridade 2026, ficando autorizado a adequá-los nos Quadros e Demonstrativos de Despesas constantes no projeto, passando a fazer parte integrante da lei a presente emenda:</w:t>
      </w:r>
    </w:p>
    <w:p w14:paraId="2B85D857" w14:textId="77777777" w:rsidR="003E36D4" w:rsidRDefault="003E36D4">
      <w:pPr>
        <w:tabs>
          <w:tab w:val="center" w:pos="4419"/>
          <w:tab w:val="right" w:pos="8838"/>
        </w:tabs>
        <w:ind w:firstLine="2130"/>
        <w:jc w:val="both"/>
        <w:rPr>
          <w:rFonts w:ascii="Times New Roman" w:eastAsia="Times New Roman" w:hAnsi="Times New Roman" w:cs="Times New Roman"/>
          <w:sz w:val="16"/>
          <w:szCs w:val="16"/>
        </w:rPr>
      </w:pPr>
    </w:p>
    <w:tbl>
      <w:tblPr>
        <w:tblStyle w:val="a3"/>
        <w:tblW w:w="14995" w:type="dxa"/>
        <w:tblInd w:w="-55" w:type="dxa"/>
        <w:tblLayout w:type="fixed"/>
        <w:tblLook w:val="0000" w:firstRow="0" w:lastRow="0" w:firstColumn="0" w:lastColumn="0" w:noHBand="0" w:noVBand="0"/>
      </w:tblPr>
      <w:tblGrid>
        <w:gridCol w:w="2926"/>
        <w:gridCol w:w="2369"/>
        <w:gridCol w:w="2846"/>
        <w:gridCol w:w="4539"/>
        <w:gridCol w:w="2315"/>
      </w:tblGrid>
      <w:tr w:rsidR="003E36D4" w14:paraId="53567058" w14:textId="77777777">
        <w:trPr>
          <w:tblHeader/>
        </w:trPr>
        <w:tc>
          <w:tcPr>
            <w:tcW w:w="2926" w:type="dxa"/>
            <w:tcBorders>
              <w:top w:val="single" w:sz="4" w:space="0" w:color="000000"/>
              <w:left w:val="single" w:sz="4" w:space="0" w:color="000000"/>
              <w:bottom w:val="single" w:sz="4" w:space="0" w:color="000000"/>
            </w:tcBorders>
            <w:shd w:val="clear" w:color="auto" w:fill="auto"/>
          </w:tcPr>
          <w:p w14:paraId="48C949FC"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sz w:val="20"/>
                <w:szCs w:val="20"/>
              </w:rPr>
              <w:t>ÓRGÃO RESPONSÁVEL PRINCIPAL</w:t>
            </w:r>
          </w:p>
        </w:tc>
        <w:tc>
          <w:tcPr>
            <w:tcW w:w="2369" w:type="dxa"/>
            <w:tcBorders>
              <w:top w:val="single" w:sz="4" w:space="0" w:color="000000"/>
              <w:left w:val="single" w:sz="4" w:space="0" w:color="000000"/>
              <w:bottom w:val="single" w:sz="4" w:space="0" w:color="000000"/>
            </w:tcBorders>
            <w:shd w:val="clear" w:color="auto" w:fill="auto"/>
          </w:tcPr>
          <w:p w14:paraId="6D283437"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sz w:val="20"/>
                <w:szCs w:val="20"/>
              </w:rPr>
              <w:t>PROGRAMÁTICA</w:t>
            </w:r>
          </w:p>
        </w:tc>
        <w:tc>
          <w:tcPr>
            <w:tcW w:w="2846" w:type="dxa"/>
            <w:tcBorders>
              <w:top w:val="single" w:sz="4" w:space="0" w:color="000000"/>
              <w:left w:val="single" w:sz="4" w:space="0" w:color="000000"/>
              <w:bottom w:val="single" w:sz="4" w:space="0" w:color="000000"/>
            </w:tcBorders>
            <w:shd w:val="clear" w:color="auto" w:fill="auto"/>
          </w:tcPr>
          <w:p w14:paraId="3A6822DC"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sz w:val="20"/>
                <w:szCs w:val="20"/>
              </w:rPr>
              <w:t xml:space="preserve">PROGRAMA </w:t>
            </w:r>
          </w:p>
        </w:tc>
        <w:tc>
          <w:tcPr>
            <w:tcW w:w="4539" w:type="dxa"/>
            <w:tcBorders>
              <w:top w:val="single" w:sz="4" w:space="0" w:color="000000"/>
              <w:left w:val="single" w:sz="4" w:space="0" w:color="000000"/>
              <w:bottom w:val="single" w:sz="4" w:space="0" w:color="000000"/>
            </w:tcBorders>
            <w:shd w:val="clear" w:color="auto" w:fill="auto"/>
          </w:tcPr>
          <w:p w14:paraId="480E1595"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sz w:val="20"/>
                <w:szCs w:val="20"/>
              </w:rPr>
              <w:t>Ação/objeto</w:t>
            </w:r>
          </w:p>
        </w:tc>
        <w:tc>
          <w:tcPr>
            <w:tcW w:w="2315" w:type="dxa"/>
            <w:tcBorders>
              <w:top w:val="single" w:sz="4" w:space="0" w:color="000000"/>
              <w:left w:val="single" w:sz="4" w:space="0" w:color="000000"/>
              <w:bottom w:val="single" w:sz="4" w:space="0" w:color="000000"/>
              <w:right w:val="single" w:sz="4" w:space="0" w:color="000000"/>
            </w:tcBorders>
            <w:shd w:val="clear" w:color="auto" w:fill="auto"/>
          </w:tcPr>
          <w:p w14:paraId="5F5ECFCA"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sz w:val="20"/>
                <w:szCs w:val="20"/>
              </w:rPr>
              <w:t>VALOR</w:t>
            </w:r>
          </w:p>
        </w:tc>
      </w:tr>
      <w:tr w:rsidR="003E36D4" w14:paraId="64A1C320" w14:textId="77777777">
        <w:trPr>
          <w:trHeight w:val="1256"/>
        </w:trPr>
        <w:tc>
          <w:tcPr>
            <w:tcW w:w="2926" w:type="dxa"/>
            <w:tcBorders>
              <w:left w:val="single" w:sz="4" w:space="0" w:color="000000"/>
              <w:bottom w:val="single" w:sz="4" w:space="0" w:color="000000"/>
            </w:tcBorders>
            <w:shd w:val="clear" w:color="auto" w:fill="auto"/>
          </w:tcPr>
          <w:p w14:paraId="3620B264" w14:textId="25FDDE43" w:rsidR="003E36D4" w:rsidRDefault="0080311A">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Secretaria Municipal de </w:t>
            </w:r>
            <w:r>
              <w:rPr>
                <w:rFonts w:ascii="Times New Roman" w:eastAsia="Times New Roman" w:hAnsi="Times New Roman" w:cs="Times New Roman"/>
                <w:b/>
                <w:bCs/>
                <w:color w:val="000000"/>
              </w:rPr>
              <w:t xml:space="preserve">Assistência e </w:t>
            </w:r>
            <w:r>
              <w:rPr>
                <w:rFonts w:ascii="Times New Roman" w:eastAsia="Times New Roman" w:hAnsi="Times New Roman" w:cs="Times New Roman"/>
                <w:b/>
                <w:bCs/>
                <w:color w:val="000000"/>
              </w:rPr>
              <w:t>Desenvolvimento</w:t>
            </w:r>
            <w:r>
              <w:rPr>
                <w:rFonts w:ascii="Times New Roman" w:eastAsia="Times New Roman" w:hAnsi="Times New Roman" w:cs="Times New Roman"/>
                <w:b/>
                <w:bCs/>
                <w:color w:val="000000"/>
              </w:rPr>
              <w:t xml:space="preserve"> Social </w:t>
            </w:r>
            <w:r>
              <w:rPr>
                <w:rFonts w:ascii="Times New Roman" w:eastAsia="Times New Roman" w:hAnsi="Times New Roman" w:cs="Times New Roman"/>
                <w:b/>
                <w:bCs/>
                <w:color w:val="000000"/>
              </w:rPr>
              <w:t>13.01.00</w:t>
            </w:r>
          </w:p>
          <w:p w14:paraId="1F6878AD" w14:textId="77777777" w:rsidR="003E36D4" w:rsidRDefault="003E36D4">
            <w:pPr>
              <w:rPr>
                <w:rFonts w:ascii="Times New Roman" w:eastAsia="Times New Roman" w:hAnsi="Times New Roman" w:cs="Times New Roman"/>
                <w:b/>
                <w:bCs/>
              </w:rPr>
            </w:pPr>
          </w:p>
        </w:tc>
        <w:tc>
          <w:tcPr>
            <w:tcW w:w="2369" w:type="dxa"/>
            <w:tcBorders>
              <w:left w:val="single" w:sz="4" w:space="0" w:color="000000"/>
              <w:bottom w:val="single" w:sz="4" w:space="0" w:color="000000"/>
            </w:tcBorders>
            <w:shd w:val="clear" w:color="auto" w:fill="auto"/>
          </w:tcPr>
          <w:p w14:paraId="05EA503B" w14:textId="77777777" w:rsidR="003E36D4" w:rsidRDefault="0080311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08.122.1001-</w:t>
            </w:r>
          </w:p>
          <w:p w14:paraId="09149093" w14:textId="77777777" w:rsidR="003E36D4" w:rsidRDefault="003E36D4">
            <w:pPr>
              <w:rPr>
                <w:rFonts w:ascii="Times New Roman" w:eastAsia="Times New Roman" w:hAnsi="Times New Roman" w:cs="Times New Roman"/>
              </w:rPr>
            </w:pPr>
          </w:p>
        </w:tc>
        <w:tc>
          <w:tcPr>
            <w:tcW w:w="2846" w:type="dxa"/>
            <w:tcBorders>
              <w:left w:val="single" w:sz="4" w:space="0" w:color="000000"/>
              <w:bottom w:val="single" w:sz="4" w:space="0" w:color="000000"/>
            </w:tcBorders>
            <w:shd w:val="clear" w:color="auto" w:fill="auto"/>
          </w:tcPr>
          <w:p w14:paraId="74FB0029" w14:textId="77777777" w:rsidR="003E36D4" w:rsidRDefault="0080311A">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CUSTEIO</w:t>
            </w:r>
          </w:p>
          <w:p w14:paraId="5C421DE7" w14:textId="77777777" w:rsidR="003E36D4" w:rsidRDefault="0080311A">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(DESPESA CORRENTE)</w:t>
            </w:r>
          </w:p>
          <w:p w14:paraId="6F820E3E" w14:textId="77777777" w:rsidR="003E36D4" w:rsidRDefault="003E36D4">
            <w:pPr>
              <w:jc w:val="center"/>
              <w:rPr>
                <w:rFonts w:ascii="Times New Roman" w:eastAsia="Times New Roman" w:hAnsi="Times New Roman" w:cs="Times New Roman"/>
                <w:b/>
                <w:bCs/>
                <w:i/>
                <w:iCs/>
                <w:sz w:val="20"/>
                <w:szCs w:val="20"/>
              </w:rPr>
            </w:pPr>
          </w:p>
          <w:p w14:paraId="6B694CDE" w14:textId="77777777" w:rsidR="003E36D4" w:rsidRDefault="0080311A">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AQUISIÇÃO DE BENS DE CONSUMO</w:t>
            </w:r>
          </w:p>
          <w:p w14:paraId="41B6D3AA" w14:textId="77777777" w:rsidR="003E36D4" w:rsidRDefault="003E36D4">
            <w:pPr>
              <w:jc w:val="center"/>
              <w:rPr>
                <w:rFonts w:ascii="Times New Roman" w:eastAsia="Times New Roman" w:hAnsi="Times New Roman" w:cs="Times New Roman"/>
                <w:sz w:val="20"/>
                <w:szCs w:val="20"/>
              </w:rPr>
            </w:pPr>
          </w:p>
        </w:tc>
        <w:tc>
          <w:tcPr>
            <w:tcW w:w="4539" w:type="dxa"/>
            <w:tcBorders>
              <w:left w:val="single" w:sz="4" w:space="0" w:color="000000"/>
              <w:bottom w:val="single" w:sz="4" w:space="0" w:color="000000"/>
            </w:tcBorders>
            <w:shd w:val="clear" w:color="auto" w:fill="auto"/>
          </w:tcPr>
          <w:p w14:paraId="1DE2F3B5" w14:textId="77777777" w:rsidR="003E36D4" w:rsidRDefault="0080311A">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AQUISIÇÃO GÊNERO ALIMENTÍCIOS</w:t>
            </w:r>
          </w:p>
          <w:p w14:paraId="26AC1D27" w14:textId="77777777" w:rsidR="003E36D4" w:rsidRDefault="003E36D4">
            <w:pPr>
              <w:jc w:val="center"/>
              <w:rPr>
                <w:rFonts w:ascii="Times New Roman" w:eastAsia="Times New Roman" w:hAnsi="Times New Roman" w:cs="Times New Roman"/>
                <w:b/>
                <w:bCs/>
                <w:i/>
                <w:iCs/>
                <w:sz w:val="20"/>
                <w:szCs w:val="20"/>
              </w:rPr>
            </w:pPr>
          </w:p>
          <w:p w14:paraId="33E73610" w14:textId="77777777" w:rsidR="003E36D4" w:rsidRDefault="0080311A">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PARA</w:t>
            </w:r>
          </w:p>
          <w:p w14:paraId="4811D5EF" w14:textId="77777777" w:rsidR="003E36D4" w:rsidRDefault="003E36D4">
            <w:pPr>
              <w:jc w:val="center"/>
              <w:rPr>
                <w:rFonts w:ascii="Times New Roman" w:eastAsia="Times New Roman" w:hAnsi="Times New Roman" w:cs="Times New Roman"/>
                <w:b/>
                <w:bCs/>
                <w:i/>
                <w:iCs/>
                <w:sz w:val="20"/>
                <w:szCs w:val="20"/>
              </w:rPr>
            </w:pPr>
          </w:p>
          <w:p w14:paraId="6F490EA8" w14:textId="3773A68E" w:rsidR="003E36D4" w:rsidRDefault="0080311A">
            <w:pPr>
              <w:jc w:val="center"/>
              <w:rPr>
                <w:rFonts w:ascii="Times New Roman" w:eastAsia="Times New Roman" w:hAnsi="Times New Roman" w:cs="Times New Roman"/>
              </w:rPr>
            </w:pPr>
            <w:r>
              <w:rPr>
                <w:rFonts w:ascii="Times New Roman" w:eastAsia="Times New Roman" w:hAnsi="Times New Roman" w:cs="Times New Roman"/>
                <w:b/>
                <w:bCs/>
                <w:i/>
                <w:iCs/>
                <w:sz w:val="20"/>
                <w:szCs w:val="20"/>
              </w:rPr>
              <w:t xml:space="preserve"> ASSOCIAÇÃO BENEFICENTE</w:t>
            </w:r>
            <w:r>
              <w:rPr>
                <w:rFonts w:ascii="Times New Roman" w:eastAsia="Times New Roman" w:hAnsi="Times New Roman" w:cs="Times New Roman"/>
                <w:b/>
                <w:bCs/>
                <w:i/>
                <w:iCs/>
                <w:sz w:val="20"/>
                <w:szCs w:val="20"/>
              </w:rPr>
              <w:t xml:space="preserve"> INSTITUTO VIDA RENOVADA  </w:t>
            </w:r>
          </w:p>
        </w:tc>
        <w:tc>
          <w:tcPr>
            <w:tcW w:w="2315" w:type="dxa"/>
            <w:tcBorders>
              <w:left w:val="single" w:sz="4" w:space="0" w:color="000000"/>
              <w:bottom w:val="single" w:sz="4" w:space="0" w:color="000000"/>
              <w:right w:val="single" w:sz="4" w:space="0" w:color="000000"/>
            </w:tcBorders>
            <w:shd w:val="clear" w:color="auto" w:fill="auto"/>
          </w:tcPr>
          <w:p w14:paraId="60C44541" w14:textId="77777777" w:rsidR="003E36D4" w:rsidRDefault="0080311A">
            <w:pPr>
              <w:rPr>
                <w:rFonts w:ascii="Times New Roman" w:eastAsia="Times New Roman" w:hAnsi="Times New Roman" w:cs="Times New Roman"/>
                <w:i/>
                <w:iCs/>
              </w:rPr>
            </w:pPr>
            <w:r>
              <w:rPr>
                <w:rFonts w:ascii="Times New Roman" w:eastAsia="Times New Roman" w:hAnsi="Times New Roman" w:cs="Times New Roman"/>
                <w:b/>
                <w:bCs/>
                <w:i/>
                <w:iCs/>
              </w:rPr>
              <w:t>R$ 5.000,00</w:t>
            </w:r>
            <w:r>
              <w:rPr>
                <w:rFonts w:ascii="Times New Roman" w:eastAsia="Times New Roman" w:hAnsi="Times New Roman" w:cs="Times New Roman"/>
                <w:i/>
                <w:iCs/>
              </w:rPr>
              <w:t xml:space="preserve"> </w:t>
            </w:r>
            <w:r>
              <w:rPr>
                <w:rFonts w:ascii="Times New Roman" w:eastAsia="Times New Roman" w:hAnsi="Times New Roman" w:cs="Times New Roman"/>
                <w:b/>
                <w:bCs/>
                <w:i/>
                <w:iCs/>
              </w:rPr>
              <w:t xml:space="preserve">(cinco mil reais) </w:t>
            </w:r>
          </w:p>
        </w:tc>
      </w:tr>
    </w:tbl>
    <w:p w14:paraId="2CC78DC6" w14:textId="77777777" w:rsidR="003E36D4" w:rsidRDefault="003E36D4">
      <w:pPr>
        <w:ind w:firstLine="2130"/>
        <w:jc w:val="both"/>
        <w:rPr>
          <w:rFonts w:ascii="Times New Roman" w:eastAsia="Times New Roman" w:hAnsi="Times New Roman" w:cs="Times New Roman"/>
          <w:sz w:val="16"/>
          <w:szCs w:val="16"/>
        </w:rPr>
      </w:pPr>
    </w:p>
    <w:p w14:paraId="7E96B506" w14:textId="5D4FEB5F" w:rsidR="003E36D4" w:rsidRDefault="0080311A">
      <w:pPr>
        <w:ind w:firstLine="2268"/>
        <w:jc w:val="both"/>
        <w:rPr>
          <w:rFonts w:ascii="Times New Roman" w:eastAsia="Times New Roman" w:hAnsi="Times New Roman" w:cs="Times New Roman"/>
        </w:rPr>
      </w:pPr>
      <w:r>
        <w:rPr>
          <w:rFonts w:ascii="Times New Roman" w:eastAsia="Times New Roman" w:hAnsi="Times New Roman" w:cs="Times New Roman"/>
          <w:b/>
          <w:bCs/>
        </w:rPr>
        <w:t>Fica indicada e parcialmente anulada</w:t>
      </w:r>
      <w:r>
        <w:rPr>
          <w:rFonts w:ascii="Times New Roman" w:eastAsia="Times New Roman" w:hAnsi="Times New Roman" w:cs="Times New Roman"/>
        </w:rPr>
        <w:t xml:space="preserve">, para fazer face à diferença do valor do aumento do recurso financeiro do Programa e da Ação ora indicados, a seguinte dotação orçamentária, no valor de </w:t>
      </w:r>
      <w:r>
        <w:rPr>
          <w:rFonts w:ascii="Times New Roman" w:eastAsia="Times New Roman" w:hAnsi="Times New Roman" w:cs="Times New Roman"/>
          <w:b/>
          <w:bCs/>
        </w:rPr>
        <w:t>R$ 5.000,00 (cinco mil reais)</w:t>
      </w:r>
      <w:r>
        <w:rPr>
          <w:rFonts w:ascii="Times New Roman" w:eastAsia="Times New Roman" w:hAnsi="Times New Roman" w:cs="Times New Roman"/>
        </w:rPr>
        <w:t xml:space="preserve">, na natureza da despesa </w:t>
      </w:r>
      <w:r>
        <w:rPr>
          <w:rFonts w:ascii="Times New Roman" w:eastAsia="Times New Roman" w:hAnsi="Times New Roman" w:cs="Times New Roman"/>
          <w:b/>
          <w:bCs/>
        </w:rPr>
        <w:t>CUSTEIO (DESPESA CERRENTE)</w:t>
      </w:r>
      <w:r>
        <w:rPr>
          <w:rFonts w:ascii="Times New Roman" w:eastAsia="Times New Roman" w:hAnsi="Times New Roman" w:cs="Times New Roman"/>
        </w:rPr>
        <w:t xml:space="preserve">, destinada à </w:t>
      </w:r>
      <w:r>
        <w:rPr>
          <w:rFonts w:ascii="Times New Roman" w:eastAsia="Times New Roman" w:hAnsi="Times New Roman" w:cs="Times New Roman"/>
          <w:b/>
          <w:bCs/>
        </w:rPr>
        <w:t xml:space="preserve">Secretaria Municipal </w:t>
      </w:r>
      <w:r>
        <w:rPr>
          <w:rFonts w:ascii="Times New Roman" w:eastAsia="Times New Roman" w:hAnsi="Times New Roman" w:cs="Times New Roman"/>
          <w:b/>
          <w:bCs/>
        </w:rPr>
        <w:t>de Assistência e</w:t>
      </w:r>
      <w:r>
        <w:rPr>
          <w:rFonts w:ascii="Times New Roman" w:eastAsia="Times New Roman" w:hAnsi="Times New Roman" w:cs="Times New Roman"/>
          <w:b/>
          <w:bCs/>
        </w:rPr>
        <w:t xml:space="preserve"> Desenvolvimento Social</w:t>
      </w:r>
      <w:r>
        <w:rPr>
          <w:rFonts w:ascii="Times New Roman" w:eastAsia="Times New Roman" w:hAnsi="Times New Roman" w:cs="Times New Roman"/>
        </w:rPr>
        <w:t xml:space="preserve">, para </w:t>
      </w:r>
      <w:r>
        <w:rPr>
          <w:rFonts w:ascii="Times New Roman" w:eastAsia="Times New Roman" w:hAnsi="Times New Roman" w:cs="Times New Roman"/>
          <w:b/>
          <w:bCs/>
        </w:rPr>
        <w:t>aquisição de gêneros alimentícios</w:t>
      </w:r>
      <w:r>
        <w:rPr>
          <w:rFonts w:ascii="Times New Roman" w:eastAsia="Times New Roman" w:hAnsi="Times New Roman" w:cs="Times New Roman"/>
        </w:rPr>
        <w:t xml:space="preserve"> destinados à </w:t>
      </w:r>
      <w:r>
        <w:rPr>
          <w:rFonts w:ascii="Times New Roman" w:eastAsia="Times New Roman" w:hAnsi="Times New Roman" w:cs="Times New Roman"/>
          <w:b/>
          <w:bCs/>
        </w:rPr>
        <w:t>Associação Beneficente Instituto Vida Renovada</w:t>
      </w:r>
      <w:r>
        <w:rPr>
          <w:rFonts w:ascii="Times New Roman" w:eastAsia="Times New Roman" w:hAnsi="Times New Roman" w:cs="Times New Roman"/>
        </w:rPr>
        <w:t xml:space="preserve">, inscrita no </w:t>
      </w:r>
      <w:r>
        <w:rPr>
          <w:rFonts w:ascii="Times New Roman" w:eastAsia="Times New Roman" w:hAnsi="Times New Roman" w:cs="Times New Roman"/>
          <w:b/>
          <w:bCs/>
        </w:rPr>
        <w:t>CNPJ nº 14.990.497/0001-47</w:t>
      </w:r>
      <w:r>
        <w:rPr>
          <w:rFonts w:ascii="Times New Roman" w:eastAsia="Times New Roman" w:hAnsi="Times New Roman" w:cs="Times New Roman"/>
        </w:rPr>
        <w:t>.</w:t>
      </w:r>
    </w:p>
    <w:p w14:paraId="76ABAE0C" w14:textId="77777777" w:rsidR="003E36D4" w:rsidRDefault="003E36D4">
      <w:pPr>
        <w:ind w:firstLine="2268"/>
        <w:jc w:val="both"/>
        <w:rPr>
          <w:rFonts w:ascii="Times New Roman" w:eastAsia="Times New Roman" w:hAnsi="Times New Roman" w:cs="Times New Roman"/>
        </w:rPr>
      </w:pPr>
    </w:p>
    <w:p w14:paraId="334100C4" w14:textId="77777777" w:rsidR="003E36D4" w:rsidRDefault="0080311A">
      <w:pPr>
        <w:ind w:left="4320" w:firstLine="720"/>
        <w:jc w:val="both"/>
        <w:rPr>
          <w:rFonts w:ascii="Times New Roman" w:eastAsia="Times New Roman" w:hAnsi="Times New Roman" w:cs="Times New Roman"/>
        </w:rPr>
      </w:pPr>
      <w:r>
        <w:rPr>
          <w:rFonts w:ascii="Times New Roman" w:eastAsia="Times New Roman" w:hAnsi="Times New Roman" w:cs="Times New Roman"/>
        </w:rPr>
        <w:t>Sala das Sessões, 22 de dezembro de 2025</w:t>
      </w:r>
    </w:p>
    <w:p w14:paraId="5FC72329" w14:textId="77777777" w:rsidR="003E36D4" w:rsidRDefault="003E36D4">
      <w:pPr>
        <w:jc w:val="center"/>
        <w:rPr>
          <w:rFonts w:ascii="Times New Roman" w:eastAsia="Times New Roman" w:hAnsi="Times New Roman" w:cs="Times New Roman"/>
        </w:rPr>
      </w:pPr>
    </w:p>
    <w:p w14:paraId="759CD26E" w14:textId="77777777" w:rsidR="003E36D4" w:rsidRDefault="003E36D4">
      <w:pPr>
        <w:jc w:val="center"/>
        <w:rPr>
          <w:rFonts w:ascii="Times New Roman" w:eastAsia="Times New Roman" w:hAnsi="Times New Roman" w:cs="Times New Roman"/>
        </w:rPr>
      </w:pPr>
    </w:p>
    <w:p w14:paraId="1C41AD70" w14:textId="77777777" w:rsidR="003E36D4" w:rsidRDefault="0080311A">
      <w:pPr>
        <w:jc w:val="center"/>
        <w:rPr>
          <w:rFonts w:ascii="Times New Roman" w:eastAsia="Times New Roman" w:hAnsi="Times New Roman" w:cs="Times New Roman"/>
          <w:b/>
          <w:bCs/>
          <w:i/>
          <w:iCs/>
        </w:rPr>
      </w:pPr>
      <w:r>
        <w:rPr>
          <w:rFonts w:ascii="Times New Roman" w:eastAsia="Times New Roman" w:hAnsi="Times New Roman" w:cs="Times New Roman"/>
          <w:b/>
          <w:bCs/>
          <w:i/>
          <w:iCs/>
        </w:rPr>
        <w:t xml:space="preserve">Wellinton Luis Cintra de Oliveira </w:t>
      </w:r>
    </w:p>
    <w:p w14:paraId="1EA775AF" w14:textId="77777777" w:rsidR="003E36D4" w:rsidRDefault="0080311A">
      <w:pPr>
        <w:jc w:val="center"/>
        <w:rPr>
          <w:rFonts w:ascii="Times New Roman" w:eastAsia="Times New Roman" w:hAnsi="Times New Roman" w:cs="Times New Roman"/>
          <w:b/>
          <w:bCs/>
          <w:i/>
          <w:iCs/>
        </w:rPr>
      </w:pPr>
      <w:r>
        <w:rPr>
          <w:rFonts w:ascii="Times New Roman" w:eastAsia="Times New Roman" w:hAnsi="Times New Roman" w:cs="Times New Roman"/>
          <w:b/>
          <w:bCs/>
          <w:i/>
          <w:iCs/>
        </w:rPr>
        <w:t xml:space="preserve">Vereador </w:t>
      </w:r>
    </w:p>
    <w:p w14:paraId="195A85CE" w14:textId="77777777" w:rsidR="003E36D4" w:rsidRDefault="003E36D4">
      <w:pPr>
        <w:jc w:val="center"/>
        <w:rPr>
          <w:rFonts w:ascii="Times New Roman" w:eastAsia="Times New Roman" w:hAnsi="Times New Roman" w:cs="Times New Roman"/>
          <w:b/>
          <w:bCs/>
          <w:i/>
          <w:iCs/>
        </w:rPr>
      </w:pPr>
    </w:p>
    <w:p w14:paraId="40CBF166" w14:textId="77777777" w:rsidR="003E36D4" w:rsidRDefault="0080311A">
      <w:pPr>
        <w:rPr>
          <w:rFonts w:ascii="Times New Roman" w:eastAsia="Times New Roman" w:hAnsi="Times New Roman" w:cs="Times New Roman"/>
          <w:b/>
          <w:bCs/>
          <w:i/>
          <w:iCs/>
        </w:rPr>
      </w:pPr>
      <w:r>
        <w:rPr>
          <w:rFonts w:ascii="Times New Roman" w:eastAsia="Times New Roman" w:hAnsi="Times New Roman" w:cs="Times New Roman"/>
          <w:b/>
          <w:bCs/>
          <w:i/>
          <w:iCs/>
        </w:rPr>
        <w:t>Japs</w:t>
      </w:r>
    </w:p>
    <w:p w14:paraId="6AF8AD6B" w14:textId="77777777" w:rsidR="003E36D4" w:rsidRDefault="003E36D4">
      <w:pPr>
        <w:rPr>
          <w:rFonts w:ascii="Times New Roman" w:eastAsia="Times New Roman" w:hAnsi="Times New Roman" w:cs="Times New Roman"/>
        </w:rPr>
      </w:pPr>
    </w:p>
    <w:p w14:paraId="6121DA21" w14:textId="77777777" w:rsidR="003E36D4" w:rsidRDefault="0080311A">
      <w:pPr>
        <w:ind w:left="6480"/>
        <w:rPr>
          <w:rFonts w:ascii="Times New Roman" w:eastAsia="Times New Roman" w:hAnsi="Times New Roman" w:cs="Times New Roman"/>
          <w:b/>
          <w:bCs/>
          <w:i/>
          <w:iCs/>
        </w:rPr>
      </w:pPr>
      <w:r>
        <w:rPr>
          <w:rFonts w:ascii="Times New Roman" w:eastAsia="Times New Roman" w:hAnsi="Times New Roman" w:cs="Times New Roman"/>
          <w:b/>
          <w:bCs/>
          <w:i/>
          <w:iCs/>
        </w:rPr>
        <w:t>JUSTIFICATIVA:</w:t>
      </w:r>
    </w:p>
    <w:p w14:paraId="6ABA125B" w14:textId="77777777" w:rsidR="003E36D4" w:rsidRDefault="0080311A">
      <w:pPr>
        <w:tabs>
          <w:tab w:val="center" w:pos="4419"/>
          <w:tab w:val="right" w:pos="8838"/>
        </w:tabs>
        <w:spacing w:before="240" w:after="240"/>
        <w:ind w:firstLine="2267"/>
        <w:jc w:val="both"/>
        <w:rPr>
          <w:rFonts w:ascii="Times New Roman" w:eastAsia="Times New Roman" w:hAnsi="Times New Roman" w:cs="Times New Roman"/>
        </w:rPr>
      </w:pPr>
      <w:r>
        <w:rPr>
          <w:rFonts w:ascii="Times New Roman" w:eastAsia="Times New Roman" w:hAnsi="Times New Roman" w:cs="Times New Roman"/>
        </w:rPr>
        <w:t xml:space="preserve">A presente Emenda Impositiva destina recursos à </w:t>
      </w:r>
      <w:r>
        <w:rPr>
          <w:rFonts w:ascii="Times New Roman" w:eastAsia="Times New Roman" w:hAnsi="Times New Roman" w:cs="Times New Roman"/>
          <w:b/>
          <w:bCs/>
        </w:rPr>
        <w:t>Associação Beneficente Instituto Vida Renovada</w:t>
      </w:r>
      <w:r>
        <w:rPr>
          <w:rFonts w:ascii="Times New Roman" w:eastAsia="Times New Roman" w:hAnsi="Times New Roman" w:cs="Times New Roman"/>
        </w:rPr>
        <w:t>, entidade que realiza atendimento essencial a pessoas em situação de rua no município de Pirassununga, por meio de acolhimento temporário, oferta de alimentação, higiene, vestuário e atendimento psicossocial, além de encaminhamentos à rede de saúde e assistência social.</w:t>
      </w:r>
    </w:p>
    <w:p w14:paraId="7F5F1C40" w14:textId="77777777" w:rsidR="003E36D4" w:rsidRDefault="0080311A">
      <w:pPr>
        <w:tabs>
          <w:tab w:val="center" w:pos="4419"/>
          <w:tab w:val="right" w:pos="8838"/>
        </w:tabs>
        <w:spacing w:before="240" w:after="240"/>
        <w:ind w:firstLine="2267"/>
        <w:jc w:val="both"/>
        <w:rPr>
          <w:rFonts w:ascii="Times New Roman" w:eastAsia="Times New Roman" w:hAnsi="Times New Roman" w:cs="Times New Roman"/>
        </w:rPr>
      </w:pPr>
      <w:r>
        <w:rPr>
          <w:rFonts w:ascii="Times New Roman" w:eastAsia="Times New Roman" w:hAnsi="Times New Roman" w:cs="Times New Roman"/>
        </w:rPr>
        <w:t>A instituição também atende pessoas em trânsito, garantindo refeições, banho e, quando necessário, pernoite, bem como presta atendimento emergencial àqueles que não aderem ao acolhimento institucional, especialmente em períodos de maior vulnerabilidade, como o inverno.</w:t>
      </w:r>
    </w:p>
    <w:p w14:paraId="7ECBB25D" w14:textId="77777777" w:rsidR="003E36D4" w:rsidRDefault="0080311A">
      <w:pPr>
        <w:tabs>
          <w:tab w:val="center" w:pos="4419"/>
          <w:tab w:val="right" w:pos="8838"/>
        </w:tabs>
        <w:spacing w:before="240" w:after="240"/>
        <w:ind w:firstLine="2267"/>
        <w:jc w:val="both"/>
        <w:rPr>
          <w:rFonts w:ascii="Times New Roman" w:eastAsia="Times New Roman" w:hAnsi="Times New Roman" w:cs="Times New Roman"/>
        </w:rPr>
      </w:pPr>
      <w:r>
        <w:rPr>
          <w:rFonts w:ascii="Times New Roman" w:eastAsia="Times New Roman" w:hAnsi="Times New Roman" w:cs="Times New Roman"/>
        </w:rPr>
        <w:t>A destinação dos recursos justifica-se pelo relevante interesse público e pelo papel fundamental da entidade na rede de proteção social do município, contribuindo para a redução da vulnerabilidade e do risco social.</w:t>
      </w:r>
    </w:p>
    <w:p w14:paraId="6786A85F" w14:textId="77777777" w:rsidR="003E36D4" w:rsidRDefault="0080311A">
      <w:pPr>
        <w:tabs>
          <w:tab w:val="center" w:pos="4419"/>
          <w:tab w:val="right" w:pos="8838"/>
        </w:tabs>
        <w:spacing w:before="240" w:after="240"/>
        <w:ind w:firstLine="2267"/>
        <w:jc w:val="both"/>
        <w:rPr>
          <w:rFonts w:ascii="Times New Roman" w:eastAsia="Times New Roman" w:hAnsi="Times New Roman" w:cs="Times New Roman"/>
        </w:rPr>
      </w:pPr>
      <w:r>
        <w:rPr>
          <w:rFonts w:ascii="Times New Roman" w:eastAsia="Times New Roman" w:hAnsi="Times New Roman" w:cs="Times New Roman"/>
        </w:rPr>
        <w:t xml:space="preserve">A presente destinação encontra amparo no </w:t>
      </w:r>
      <w:r>
        <w:rPr>
          <w:rFonts w:ascii="Times New Roman" w:eastAsia="Times New Roman" w:hAnsi="Times New Roman" w:cs="Times New Roman"/>
          <w:b/>
          <w:bCs/>
        </w:rPr>
        <w:t>art. 33 da Lei Federal nº 13.019/2014 (Marco Regulatório das Organizações da Sociedade Civil – MROSC)</w:t>
      </w:r>
      <w:r>
        <w:rPr>
          <w:rFonts w:ascii="Times New Roman" w:eastAsia="Times New Roman" w:hAnsi="Times New Roman" w:cs="Times New Roman"/>
        </w:rPr>
        <w:t>, que autoriza a celebração de parcerias entre a Administração Pública e as organizações da sociedade civil para a execução de atividades de interesse público, mediante instrumento jurídico adequado, observados os requisitos legais, a transparência e o controle social.</w:t>
      </w:r>
    </w:p>
    <w:p w14:paraId="33F637D4" w14:textId="77777777" w:rsidR="003E36D4" w:rsidRDefault="003E36D4">
      <w:pPr>
        <w:tabs>
          <w:tab w:val="center" w:pos="4419"/>
          <w:tab w:val="right" w:pos="8838"/>
        </w:tabs>
        <w:ind w:firstLine="2268"/>
        <w:jc w:val="both"/>
        <w:rPr>
          <w:rFonts w:ascii="Times New Roman" w:eastAsia="Times New Roman" w:hAnsi="Times New Roman" w:cs="Times New Roman"/>
        </w:rPr>
      </w:pPr>
    </w:p>
    <w:p w14:paraId="07C88866" w14:textId="77777777" w:rsidR="003E36D4" w:rsidRDefault="003E36D4">
      <w:pPr>
        <w:tabs>
          <w:tab w:val="center" w:pos="4419"/>
          <w:tab w:val="right" w:pos="8838"/>
        </w:tabs>
        <w:ind w:firstLine="2268"/>
        <w:jc w:val="both"/>
        <w:rPr>
          <w:rFonts w:ascii="Times New Roman" w:eastAsia="Times New Roman" w:hAnsi="Times New Roman" w:cs="Times New Roman"/>
          <w:b/>
          <w:bCs/>
          <w:i/>
          <w:iCs/>
        </w:rPr>
      </w:pPr>
    </w:p>
    <w:p w14:paraId="3325765D" w14:textId="77777777" w:rsidR="003E36D4" w:rsidRDefault="003E36D4">
      <w:pPr>
        <w:tabs>
          <w:tab w:val="center" w:pos="4419"/>
          <w:tab w:val="right" w:pos="8838"/>
        </w:tabs>
        <w:ind w:firstLine="2268"/>
        <w:jc w:val="both"/>
        <w:rPr>
          <w:rFonts w:ascii="Times New Roman" w:eastAsia="Times New Roman" w:hAnsi="Times New Roman" w:cs="Times New Roman"/>
          <w:b/>
          <w:bCs/>
          <w:i/>
          <w:iCs/>
        </w:rPr>
      </w:pPr>
    </w:p>
    <w:p w14:paraId="3F3AA84D" w14:textId="77777777" w:rsidR="003E36D4" w:rsidRDefault="0080311A">
      <w:pPr>
        <w:jc w:val="center"/>
        <w:rPr>
          <w:rFonts w:ascii="Times New Roman" w:eastAsia="Times New Roman" w:hAnsi="Times New Roman" w:cs="Times New Roman"/>
        </w:rPr>
      </w:pPr>
      <w:r>
        <w:rPr>
          <w:rFonts w:ascii="Times New Roman" w:eastAsia="Times New Roman" w:hAnsi="Times New Roman" w:cs="Times New Roman"/>
        </w:rPr>
        <w:t>Sala das Sessões, 22 de dezembro de 2025</w:t>
      </w:r>
    </w:p>
    <w:p w14:paraId="485755A2" w14:textId="77777777" w:rsidR="003E36D4" w:rsidRDefault="003E36D4">
      <w:pPr>
        <w:jc w:val="center"/>
        <w:rPr>
          <w:rFonts w:ascii="Times New Roman" w:eastAsia="Times New Roman" w:hAnsi="Times New Roman" w:cs="Times New Roman"/>
        </w:rPr>
      </w:pPr>
    </w:p>
    <w:p w14:paraId="597D0283" w14:textId="77777777" w:rsidR="003E36D4" w:rsidRDefault="003E36D4">
      <w:pPr>
        <w:jc w:val="center"/>
        <w:rPr>
          <w:rFonts w:ascii="Times New Roman" w:eastAsia="Times New Roman" w:hAnsi="Times New Roman" w:cs="Times New Roman"/>
          <w:b/>
          <w:bCs/>
          <w:i/>
          <w:iCs/>
        </w:rPr>
      </w:pPr>
    </w:p>
    <w:p w14:paraId="2BD6538D" w14:textId="77777777" w:rsidR="003E36D4" w:rsidRDefault="0080311A">
      <w:pPr>
        <w:jc w:val="center"/>
        <w:rPr>
          <w:rFonts w:ascii="Times New Roman" w:eastAsia="Times New Roman" w:hAnsi="Times New Roman" w:cs="Times New Roman"/>
          <w:b/>
          <w:bCs/>
          <w:i/>
          <w:iCs/>
        </w:rPr>
      </w:pPr>
      <w:r>
        <w:rPr>
          <w:rFonts w:ascii="Times New Roman" w:eastAsia="Times New Roman" w:hAnsi="Times New Roman" w:cs="Times New Roman"/>
          <w:b/>
          <w:bCs/>
          <w:i/>
          <w:iCs/>
        </w:rPr>
        <w:t xml:space="preserve">Wellinton Luis Cintra de Oliveira </w:t>
      </w:r>
    </w:p>
    <w:p w14:paraId="58501AA5" w14:textId="77777777" w:rsidR="003E36D4" w:rsidRDefault="0080311A">
      <w:pPr>
        <w:jc w:val="center"/>
        <w:rPr>
          <w:rFonts w:ascii="Times New Roman" w:eastAsia="Times New Roman" w:hAnsi="Times New Roman" w:cs="Times New Roman"/>
          <w:b/>
          <w:bCs/>
          <w:i/>
          <w:iCs/>
        </w:rPr>
      </w:pPr>
      <w:r>
        <w:rPr>
          <w:rFonts w:ascii="Times New Roman" w:eastAsia="Times New Roman" w:hAnsi="Times New Roman" w:cs="Times New Roman"/>
          <w:b/>
          <w:bCs/>
          <w:i/>
          <w:iCs/>
        </w:rPr>
        <w:t xml:space="preserve">Vereador </w:t>
      </w:r>
    </w:p>
    <w:p w14:paraId="141AFE4A" w14:textId="77777777" w:rsidR="003E36D4" w:rsidRDefault="003E36D4">
      <w:pPr>
        <w:jc w:val="center"/>
        <w:rPr>
          <w:rFonts w:ascii="Times New Roman" w:eastAsia="Times New Roman" w:hAnsi="Times New Roman" w:cs="Times New Roman"/>
          <w:b/>
          <w:bCs/>
          <w:i/>
          <w:iCs/>
        </w:rPr>
      </w:pPr>
    </w:p>
    <w:p w14:paraId="6A9A2842" w14:textId="77777777" w:rsidR="003E36D4" w:rsidRDefault="0080311A">
      <w:pPr>
        <w:rPr>
          <w:rFonts w:ascii="Times New Roman" w:eastAsia="Times New Roman" w:hAnsi="Times New Roman" w:cs="Times New Roman"/>
          <w:b/>
          <w:bCs/>
          <w:i/>
          <w:iCs/>
        </w:rPr>
      </w:pPr>
      <w:r>
        <w:rPr>
          <w:rFonts w:ascii="Times New Roman" w:eastAsia="Times New Roman" w:hAnsi="Times New Roman" w:cs="Times New Roman"/>
          <w:b/>
          <w:bCs/>
          <w:i/>
          <w:iCs/>
        </w:rPr>
        <w:t>Japs</w:t>
      </w:r>
    </w:p>
    <w:sectPr w:rsidR="003E36D4">
      <w:headerReference w:type="even" r:id="rId7"/>
      <w:headerReference w:type="default" r:id="rId8"/>
      <w:footerReference w:type="even" r:id="rId9"/>
      <w:footerReference w:type="default" r:id="rId10"/>
      <w:headerReference w:type="first" r:id="rId11"/>
      <w:footerReference w:type="first" r:id="rId12"/>
      <w:pgSz w:w="16838" w:h="11906" w:orient="landscape"/>
      <w:pgMar w:top="1843" w:right="1134" w:bottom="284" w:left="1134"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0D280" w14:textId="77777777" w:rsidR="0080311A" w:rsidRDefault="0080311A">
      <w:r>
        <w:separator/>
      </w:r>
    </w:p>
  </w:endnote>
  <w:endnote w:type="continuationSeparator" w:id="0">
    <w:p w14:paraId="267B07DE" w14:textId="77777777" w:rsidR="0080311A" w:rsidRDefault="0080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mbus Roman No9 L">
    <w:altName w:val="Calibri"/>
    <w:charset w:val="00"/>
    <w:family w:val="auto"/>
    <w:pitch w:val="default"/>
  </w:font>
  <w:font w:name="Arimo">
    <w:charset w:val="00"/>
    <w:family w:val="auto"/>
    <w:pitch w:val="default"/>
    <w:embedRegular r:id="rId1" w:fontKey="{45BA30A9-595E-4B19-BA09-39D0BCD2B364}"/>
    <w:embedBold r:id="rId2" w:fontKey="{C579F8DD-905E-4877-93B3-9CAF32729F5E}"/>
    <w:embedBoldItalic r:id="rId3" w:fontKey="{F87CAD34-BBE6-478F-BF35-E6CD063E4CDE}"/>
  </w:font>
  <w:font w:name="Times New Roman">
    <w:panose1 w:val="02020603050405020304"/>
    <w:charset w:val="00"/>
    <w:family w:val="roman"/>
    <w:pitch w:val="variable"/>
    <w:sig w:usb0="E0002EFF" w:usb1="C000785B" w:usb2="00000009" w:usb3="00000000" w:csb0="000001FF" w:csb1="00000000"/>
  </w:font>
  <w:font w:name="Luxi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D95F6F9C-542A-4D61-81B5-68DADE0A2AB2}"/>
    <w:embedItalic r:id="rId5" w:fontKey="{98C74A09-BBF9-4011-940B-A21101AEC2FC}"/>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6" w:fontKey="{F4737B87-ACA0-49CE-8842-50FDCB3436B1}"/>
  </w:font>
  <w:font w:name="Calibri">
    <w:panose1 w:val="020F0502020204030204"/>
    <w:charset w:val="00"/>
    <w:family w:val="swiss"/>
    <w:pitch w:val="variable"/>
    <w:sig w:usb0="E4002EFF" w:usb1="C200247B" w:usb2="00000009" w:usb3="00000000" w:csb0="000001FF" w:csb1="00000000"/>
    <w:embedRegular r:id="rId7" w:fontKey="{774BDD6B-2256-4C95-8F1A-F4AFD1126689}"/>
  </w:font>
  <w:font w:name="Cambria">
    <w:panose1 w:val="02040503050406030204"/>
    <w:charset w:val="00"/>
    <w:family w:val="roman"/>
    <w:pitch w:val="variable"/>
    <w:sig w:usb0="E00006FF" w:usb1="420024FF" w:usb2="02000000" w:usb3="00000000" w:csb0="0000019F" w:csb1="00000000"/>
    <w:embedRegular r:id="rId8" w:fontKey="{A01D0E52-2FF0-4F73-A3C3-E4F62E72E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6A0A" w14:textId="77777777" w:rsidR="003E36D4" w:rsidRDefault="003E36D4">
    <w:pPr>
      <w:pBdr>
        <w:top w:val="nil"/>
        <w:left w:val="nil"/>
        <w:bottom w:val="nil"/>
        <w:right w:val="nil"/>
        <w:between w:val="nil"/>
      </w:pBdr>
      <w:tabs>
        <w:tab w:val="center" w:pos="4818"/>
        <w:tab w:val="right" w:pos="9637"/>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838D" w14:textId="77777777" w:rsidR="003E36D4" w:rsidRDefault="0080311A">
    <w:r>
      <w:rPr>
        <w:noProof/>
      </w:rPr>
      <w:drawing>
        <wp:anchor distT="0" distB="0" distL="0" distR="0" simplePos="0" relativeHeight="251659264" behindDoc="0" locked="0" layoutInCell="1" hidden="0" allowOverlap="1" wp14:anchorId="7003BDAA" wp14:editId="5A901CD1">
          <wp:simplePos x="0" y="0"/>
          <wp:positionH relativeFrom="column">
            <wp:posOffset>1691639</wp:posOffset>
          </wp:positionH>
          <wp:positionV relativeFrom="paragraph">
            <wp:posOffset>38735</wp:posOffset>
          </wp:positionV>
          <wp:extent cx="6115685" cy="101409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56" t="-343" r="-55" b="-343"/>
                  <a:stretch>
                    <a:fillRect/>
                  </a:stretch>
                </pic:blipFill>
                <pic:spPr>
                  <a:xfrm>
                    <a:off x="0" y="0"/>
                    <a:ext cx="6115685" cy="101409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CCFE" w14:textId="77777777" w:rsidR="003E36D4" w:rsidRDefault="003E36D4">
    <w:pPr>
      <w:pBdr>
        <w:top w:val="nil"/>
        <w:left w:val="nil"/>
        <w:bottom w:val="nil"/>
        <w:right w:val="nil"/>
        <w:between w:val="nil"/>
      </w:pBdr>
      <w:tabs>
        <w:tab w:val="center" w:pos="4818"/>
        <w:tab w:val="right" w:pos="9637"/>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1443B" w14:textId="77777777" w:rsidR="0080311A" w:rsidRDefault="0080311A">
      <w:r>
        <w:separator/>
      </w:r>
    </w:p>
  </w:footnote>
  <w:footnote w:type="continuationSeparator" w:id="0">
    <w:p w14:paraId="409D0C84" w14:textId="77777777" w:rsidR="0080311A" w:rsidRDefault="0080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A76C" w14:textId="77777777" w:rsidR="003E36D4" w:rsidRDefault="003E36D4">
    <w:pPr>
      <w:pBdr>
        <w:top w:val="nil"/>
        <w:left w:val="nil"/>
        <w:bottom w:val="nil"/>
        <w:right w:val="nil"/>
        <w:between w:val="nil"/>
      </w:pBdr>
      <w:tabs>
        <w:tab w:val="center" w:pos="4419"/>
        <w:tab w:val="right" w:pos="8838"/>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8197" w14:textId="77777777" w:rsidR="003E36D4" w:rsidRDefault="0080311A">
    <w:pPr>
      <w:pBdr>
        <w:top w:val="nil"/>
        <w:left w:val="nil"/>
        <w:bottom w:val="nil"/>
        <w:right w:val="nil"/>
        <w:between w:val="nil"/>
      </w:pBdr>
      <w:tabs>
        <w:tab w:val="center" w:pos="4419"/>
        <w:tab w:val="right" w:pos="8838"/>
      </w:tabs>
      <w:jc w:val="center"/>
      <w:rPr>
        <w:color w:val="000000"/>
      </w:rPr>
    </w:pPr>
    <w:r>
      <w:rPr>
        <w:color w:val="000000"/>
        <w:sz w:val="36"/>
        <w:szCs w:val="36"/>
      </w:rPr>
      <w:t xml:space="preserve">          </w:t>
    </w:r>
    <w:r>
      <w:rPr>
        <w:noProof/>
      </w:rPr>
      <w:drawing>
        <wp:anchor distT="0" distB="0" distL="0" distR="0" simplePos="0" relativeHeight="251658240" behindDoc="0" locked="0" layoutInCell="1" hidden="0" allowOverlap="1" wp14:anchorId="447A4504" wp14:editId="21B67719">
          <wp:simplePos x="0" y="0"/>
          <wp:positionH relativeFrom="column">
            <wp:posOffset>1691639</wp:posOffset>
          </wp:positionH>
          <wp:positionV relativeFrom="paragraph">
            <wp:posOffset>-136524</wp:posOffset>
          </wp:positionV>
          <wp:extent cx="6115685" cy="1014095"/>
          <wp:effectExtent l="0" t="0" r="0" b="0"/>
          <wp:wrapSquare wrapText="bothSides" distT="0" distB="0" distL="0" distR="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6" t="-343" r="-55" b="-343"/>
                  <a:stretch>
                    <a:fillRect/>
                  </a:stretch>
                </pic:blipFill>
                <pic:spPr>
                  <a:xfrm>
                    <a:off x="0" y="0"/>
                    <a:ext cx="6115685" cy="10140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C72D" w14:textId="77777777" w:rsidR="003E36D4" w:rsidRDefault="003E36D4">
    <w:pPr>
      <w:pBdr>
        <w:top w:val="nil"/>
        <w:left w:val="nil"/>
        <w:bottom w:val="nil"/>
        <w:right w:val="nil"/>
        <w:between w:val="nil"/>
      </w:pBdr>
      <w:tabs>
        <w:tab w:val="center" w:pos="4419"/>
        <w:tab w:val="right" w:pos="8838"/>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D4"/>
    <w:rsid w:val="003E36D4"/>
    <w:rsid w:val="00696378"/>
    <w:rsid w:val="008031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92DB"/>
  <w15:docId w15:val="{73CA0E44-CD24-4BED-AF3D-209E87EE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mbus Roman No9 L" w:eastAsia="Nimbus Roman No9 L" w:hAnsi="Nimbus Roman No9 L" w:cs="Nimbus Roman No9 L"/>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120"/>
      <w:ind w:hanging="1"/>
      <w:outlineLvl w:val="0"/>
    </w:pPr>
    <w:rPr>
      <w:rFonts w:ascii="Arimo" w:eastAsia="Arimo" w:hAnsi="Arimo" w:cs="Arimo"/>
      <w:b/>
      <w:bCs/>
      <w:sz w:val="36"/>
      <w:szCs w:val="36"/>
    </w:rPr>
  </w:style>
  <w:style w:type="paragraph" w:styleId="Ttulo2">
    <w:name w:val="heading 2"/>
    <w:basedOn w:val="Normal"/>
    <w:next w:val="Normal"/>
    <w:uiPriority w:val="9"/>
    <w:semiHidden/>
    <w:unhideWhenUsed/>
    <w:qFormat/>
    <w:pPr>
      <w:keepNext/>
      <w:spacing w:before="200" w:after="120"/>
      <w:ind w:hanging="1"/>
      <w:outlineLvl w:val="1"/>
    </w:pPr>
    <w:rPr>
      <w:rFonts w:ascii="Arimo" w:eastAsia="Arimo" w:hAnsi="Arimo" w:cs="Arimo"/>
      <w:b/>
      <w:bCs/>
      <w:sz w:val="32"/>
      <w:szCs w:val="32"/>
    </w:rPr>
  </w:style>
  <w:style w:type="paragraph" w:styleId="Ttulo3">
    <w:name w:val="heading 3"/>
    <w:basedOn w:val="Normal"/>
    <w:next w:val="Normal"/>
    <w:uiPriority w:val="9"/>
    <w:semiHidden/>
    <w:unhideWhenUsed/>
    <w:qFormat/>
    <w:pPr>
      <w:keepNext/>
      <w:spacing w:before="140" w:after="120"/>
      <w:ind w:hanging="1"/>
      <w:outlineLvl w:val="2"/>
    </w:pPr>
    <w:rPr>
      <w:rFonts w:ascii="Arimo" w:eastAsia="Arimo" w:hAnsi="Arimo" w:cs="Arimo"/>
      <w:b/>
      <w:bCs/>
      <w:sz w:val="28"/>
      <w:szCs w:val="28"/>
    </w:rPr>
  </w:style>
  <w:style w:type="paragraph" w:styleId="Ttulo4">
    <w:name w:val="heading 4"/>
    <w:basedOn w:val="Normal"/>
    <w:next w:val="Normal"/>
    <w:uiPriority w:val="9"/>
    <w:semiHidden/>
    <w:unhideWhenUsed/>
    <w:qFormat/>
    <w:pPr>
      <w:keepNext/>
      <w:spacing w:before="120" w:after="120"/>
      <w:ind w:hanging="1"/>
      <w:outlineLvl w:val="3"/>
    </w:pPr>
    <w:rPr>
      <w:rFonts w:ascii="Arimo" w:eastAsia="Arimo" w:hAnsi="Arimo" w:cs="Arimo"/>
      <w:b/>
      <w:bCs/>
      <w:i/>
      <w:iCs/>
      <w:sz w:val="27"/>
      <w:szCs w:val="27"/>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ind w:hanging="1"/>
    </w:pPr>
    <w:rPr>
      <w:rFonts w:ascii="Arimo" w:eastAsia="Arimo" w:hAnsi="Arimo" w:cs="Arimo"/>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LinkdaInternet">
    <w:name w:val="Link da Internet"/>
    <w:rPr>
      <w:color w:val="000080"/>
      <w:w w:val="100"/>
      <w:position w:val="-1"/>
      <w:u w:val="single"/>
      <w:effect w:val="none"/>
      <w:vertAlign w:val="baseline"/>
      <w:cs w:val="0"/>
      <w:em w:val="none"/>
    </w:rPr>
  </w:style>
  <w:style w:type="paragraph" w:customStyle="1" w:styleId="Corpodotexto">
    <w:name w:val="Corpo do texto"/>
    <w:basedOn w:val="Normal"/>
    <w:pPr>
      <w:spacing w:after="120" w:line="1" w:lineRule="atLeast"/>
      <w:ind w:leftChars="-1" w:left="-1" w:hangingChars="1" w:hanging="1"/>
      <w:textDirection w:val="btLr"/>
      <w:textAlignment w:val="top"/>
      <w:outlineLvl w:val="0"/>
    </w:pPr>
    <w:rPr>
      <w:rFonts w:eastAsia="Luxi Sans" w:cs="Luxi Sans"/>
      <w:position w:val="-1"/>
      <w:szCs w:val="20"/>
    </w:rPr>
  </w:style>
  <w:style w:type="paragraph" w:styleId="Lista">
    <w:name w:val="List"/>
    <w:basedOn w:val="Corpodotexto"/>
    <w:rPr>
      <w:rFonts w:ascii="Arial" w:hAnsi="Arial" w:cs="Tahoma"/>
    </w:rPr>
  </w:style>
  <w:style w:type="paragraph" w:styleId="Legenda">
    <w:name w:val="caption"/>
    <w:basedOn w:val="Normal"/>
    <w:pPr>
      <w:suppressLineNumbers/>
      <w:spacing w:before="120" w:after="120" w:line="1" w:lineRule="atLeast"/>
      <w:ind w:leftChars="-1" w:left="-1" w:hangingChars="1" w:hanging="1"/>
      <w:textDirection w:val="btLr"/>
      <w:textAlignment w:val="top"/>
      <w:outlineLvl w:val="0"/>
    </w:pPr>
    <w:rPr>
      <w:rFonts w:ascii="Arial" w:eastAsia="Luxi Sans" w:hAnsi="Arial" w:cs="Tahoma"/>
      <w:i/>
      <w:iCs/>
      <w:position w:val="-1"/>
      <w:sz w:val="20"/>
      <w:szCs w:val="20"/>
    </w:rPr>
  </w:style>
  <w:style w:type="paragraph" w:customStyle="1" w:styleId="ndice">
    <w:name w:val="Índice"/>
    <w:basedOn w:val="Normal"/>
    <w:pPr>
      <w:suppressLineNumbers/>
      <w:spacing w:line="1" w:lineRule="atLeast"/>
      <w:ind w:leftChars="-1" w:left="-1" w:hangingChars="1" w:hanging="1"/>
      <w:textDirection w:val="btLr"/>
      <w:textAlignment w:val="top"/>
      <w:outlineLvl w:val="0"/>
    </w:pPr>
    <w:rPr>
      <w:rFonts w:ascii="Arial" w:eastAsia="Luxi Sans" w:hAnsi="Arial" w:cs="Tahoma"/>
      <w:position w:val="-1"/>
      <w:szCs w:val="20"/>
    </w:rPr>
  </w:style>
  <w:style w:type="paragraph" w:customStyle="1" w:styleId="Captulo">
    <w:name w:val="Capítulo"/>
    <w:basedOn w:val="Normal"/>
    <w:next w:val="Corpodotexto"/>
    <w:pPr>
      <w:keepNext/>
      <w:spacing w:before="240" w:after="120" w:line="1" w:lineRule="atLeast"/>
      <w:ind w:leftChars="-1" w:left="-1" w:hangingChars="1" w:hanging="1"/>
      <w:textDirection w:val="btLr"/>
      <w:textAlignment w:val="top"/>
      <w:outlineLvl w:val="0"/>
    </w:pPr>
    <w:rPr>
      <w:rFonts w:ascii="Luxi Sans" w:eastAsia="Luxi Sans" w:hAnsi="Luxi Sans" w:cs="Luxi Sans"/>
      <w:position w:val="-1"/>
      <w:sz w:val="28"/>
      <w:szCs w:val="28"/>
    </w:rPr>
  </w:style>
  <w:style w:type="paragraph" w:customStyle="1" w:styleId="WW-Ttulo">
    <w:name w:val="WW-Título"/>
    <w:basedOn w:val="Normal"/>
    <w:next w:val="Corpodotexto"/>
    <w:pPr>
      <w:keepNext/>
      <w:spacing w:before="240" w:after="120" w:line="1" w:lineRule="atLeast"/>
      <w:ind w:leftChars="-1" w:left="-1" w:hangingChars="1" w:hanging="1"/>
      <w:textDirection w:val="btLr"/>
      <w:textAlignment w:val="top"/>
      <w:outlineLvl w:val="0"/>
    </w:pPr>
    <w:rPr>
      <w:rFonts w:ascii="Luxi Sans" w:eastAsia="MS Mincho" w:hAnsi="Luxi Sans" w:cs="Tahoma"/>
      <w:position w:val="-1"/>
      <w:sz w:val="28"/>
      <w:szCs w:val="28"/>
    </w:rPr>
  </w:style>
  <w:style w:type="paragraph" w:customStyle="1" w:styleId="CabealhoeRodap">
    <w:name w:val="Cabeçalho e Rodapé"/>
    <w:basedOn w:val="Normal"/>
    <w:pPr>
      <w:suppressLineNumbers/>
      <w:tabs>
        <w:tab w:val="center" w:pos="4819"/>
        <w:tab w:val="right" w:pos="9638"/>
      </w:tabs>
      <w:spacing w:line="1" w:lineRule="atLeast"/>
      <w:ind w:leftChars="-1" w:left="-1" w:hangingChars="1" w:hanging="1"/>
      <w:textDirection w:val="btLr"/>
      <w:textAlignment w:val="top"/>
      <w:outlineLvl w:val="0"/>
    </w:pPr>
    <w:rPr>
      <w:rFonts w:eastAsia="Luxi Sans" w:cs="Luxi Sans"/>
      <w:position w:val="-1"/>
      <w:szCs w:val="20"/>
    </w:rPr>
  </w:style>
  <w:style w:type="paragraph" w:customStyle="1" w:styleId="Cabealhoerodap1">
    <w:name w:val="Cabeçalho e rodapé1"/>
    <w:basedOn w:val="Normal"/>
    <w:pPr>
      <w:suppressLineNumbers/>
      <w:tabs>
        <w:tab w:val="center" w:pos="4819"/>
        <w:tab w:val="right" w:pos="9638"/>
      </w:tabs>
      <w:spacing w:line="1" w:lineRule="atLeast"/>
      <w:ind w:leftChars="-1" w:left="-1" w:hangingChars="1" w:hanging="1"/>
      <w:textDirection w:val="btLr"/>
      <w:textAlignment w:val="top"/>
      <w:outlineLvl w:val="0"/>
    </w:pPr>
    <w:rPr>
      <w:rFonts w:eastAsia="Luxi Sans" w:cs="Luxi Sans"/>
      <w:position w:val="-1"/>
      <w:szCs w:val="20"/>
    </w:rPr>
  </w:style>
  <w:style w:type="paragraph" w:styleId="Cabealho">
    <w:name w:val="header"/>
    <w:basedOn w:val="Normal"/>
    <w:pPr>
      <w:tabs>
        <w:tab w:val="center" w:pos="4419"/>
        <w:tab w:val="right" w:pos="8838"/>
      </w:tabs>
      <w:spacing w:line="1" w:lineRule="atLeast"/>
      <w:ind w:leftChars="-1" w:left="-1" w:hangingChars="1" w:hanging="1"/>
      <w:textDirection w:val="btLr"/>
      <w:textAlignment w:val="top"/>
      <w:outlineLvl w:val="0"/>
    </w:pPr>
    <w:rPr>
      <w:rFonts w:eastAsia="Luxi Sans" w:cs="Luxi Sans"/>
      <w:position w:val="-1"/>
      <w:szCs w:val="20"/>
    </w:rPr>
  </w:style>
  <w:style w:type="paragraph" w:customStyle="1" w:styleId="Contedodatabela">
    <w:name w:val="Conteúdo da tabela"/>
    <w:basedOn w:val="Corpodotexto"/>
    <w:pPr>
      <w:suppressLineNumbers/>
    </w:pPr>
  </w:style>
  <w:style w:type="paragraph" w:customStyle="1" w:styleId="Corpodotextorecuado">
    <w:name w:val="Corpo do texto recuado"/>
    <w:basedOn w:val="Corpodotexto"/>
    <w:pPr>
      <w:ind w:left="283" w:firstLine="0"/>
    </w:pPr>
  </w:style>
  <w:style w:type="paragraph" w:customStyle="1" w:styleId="Ttulodatabela">
    <w:name w:val="Título da tabela"/>
    <w:basedOn w:val="Contedodatabela"/>
    <w:pPr>
      <w:jc w:val="center"/>
    </w:pPr>
    <w:rPr>
      <w:b/>
      <w:bCs/>
      <w:i/>
      <w:iCs/>
    </w:rPr>
  </w:style>
  <w:style w:type="paragraph" w:customStyle="1" w:styleId="Linhahorizontal">
    <w:name w:val="Linha horizontal"/>
    <w:basedOn w:val="Normal"/>
    <w:next w:val="Corpodotexto"/>
    <w:pPr>
      <w:suppressLineNumbers/>
      <w:pBdr>
        <w:top w:val="none" w:sz="0" w:space="0" w:color="000000"/>
        <w:left w:val="none" w:sz="0" w:space="0" w:color="000000"/>
        <w:bottom w:val="double" w:sz="1" w:space="0" w:color="808080"/>
        <w:right w:val="none" w:sz="0" w:space="0" w:color="000000"/>
      </w:pBdr>
      <w:spacing w:after="283" w:line="1" w:lineRule="atLeast"/>
      <w:ind w:leftChars="-1" w:left="-1" w:hangingChars="1" w:hanging="1"/>
      <w:textDirection w:val="btLr"/>
      <w:textAlignment w:val="top"/>
      <w:outlineLvl w:val="0"/>
    </w:pPr>
    <w:rPr>
      <w:rFonts w:eastAsia="Luxi Sans" w:cs="Luxi Sans"/>
      <w:position w:val="-1"/>
      <w:sz w:val="12"/>
      <w:szCs w:val="20"/>
    </w:rPr>
  </w:style>
  <w:style w:type="paragraph" w:styleId="Rodap">
    <w:name w:val="footer"/>
    <w:basedOn w:val="Normal"/>
    <w:pPr>
      <w:suppressLineNumbers/>
      <w:tabs>
        <w:tab w:val="center" w:pos="4818"/>
        <w:tab w:val="right" w:pos="9637"/>
      </w:tabs>
      <w:spacing w:line="1" w:lineRule="atLeast"/>
      <w:ind w:leftChars="-1" w:left="-1" w:hangingChars="1" w:hanging="1"/>
      <w:textDirection w:val="btLr"/>
      <w:textAlignment w:val="top"/>
      <w:outlineLvl w:val="0"/>
    </w:pPr>
    <w:rPr>
      <w:rFonts w:eastAsia="Luxi Sans" w:cs="Luxi Sans"/>
      <w:position w:val="-1"/>
      <w:szCs w:val="20"/>
    </w:rPr>
  </w:style>
  <w:style w:type="paragraph" w:customStyle="1" w:styleId="Contedodetabela">
    <w:name w:val="Conteúdo de tabela"/>
    <w:basedOn w:val="Normal"/>
    <w:pPr>
      <w:suppressLineNumbers/>
      <w:spacing w:line="1" w:lineRule="atLeast"/>
      <w:ind w:leftChars="-1" w:left="-1" w:hangingChars="1" w:hanging="1"/>
      <w:textDirection w:val="btLr"/>
      <w:textAlignment w:val="top"/>
      <w:outlineLvl w:val="0"/>
    </w:pPr>
    <w:rPr>
      <w:rFonts w:eastAsia="Luxi Sans" w:cs="Luxi Sans"/>
      <w:position w:val="-1"/>
      <w:szCs w:val="20"/>
    </w:rPr>
  </w:style>
  <w:style w:type="paragraph" w:customStyle="1" w:styleId="Ttulodetabela">
    <w:name w:val="Título de tabela"/>
    <w:basedOn w:val="Contedodetabela"/>
    <w:pPr>
      <w:jc w:val="center"/>
    </w:pPr>
    <w:rPr>
      <w:b/>
      <w:bCs/>
    </w:rPr>
  </w:style>
  <w:style w:type="paragraph" w:customStyle="1" w:styleId="Citaes">
    <w:name w:val="Citações"/>
    <w:basedOn w:val="Normal"/>
    <w:pPr>
      <w:spacing w:after="283" w:line="1" w:lineRule="atLeast"/>
      <w:ind w:leftChars="-1" w:left="567" w:right="567" w:hangingChars="1" w:hanging="1"/>
      <w:textDirection w:val="btLr"/>
      <w:textAlignment w:val="top"/>
      <w:outlineLvl w:val="0"/>
    </w:pPr>
    <w:rPr>
      <w:rFonts w:eastAsia="Luxi Sans" w:cs="Luxi Sans"/>
      <w:position w:val="-1"/>
      <w:szCs w:val="20"/>
    </w:rPr>
  </w:style>
  <w:style w:type="table" w:customStyle="1" w:styleId="a">
    <w:basedOn w:val="TableNormal1"/>
    <w:tblPr>
      <w:tblStyleRowBandSize w:val="1"/>
      <w:tblStyleColBandSize w:val="1"/>
      <w:tblCellMar>
        <w:top w:w="55" w:type="dxa"/>
        <w:left w:w="55" w:type="dxa"/>
        <w:bottom w:w="55" w:type="dxa"/>
        <w:right w:w="55" w:type="dxa"/>
      </w:tblCellMar>
    </w:tblPr>
  </w:style>
  <w:style w:type="table" w:customStyle="1" w:styleId="a0">
    <w:basedOn w:val="TableNormal1"/>
    <w:tblPr>
      <w:tblStyleRowBandSize w:val="1"/>
      <w:tblStyleColBandSize w:val="1"/>
      <w:tblCellMar>
        <w:top w:w="55" w:type="dxa"/>
        <w:left w:w="55" w:type="dxa"/>
        <w:bottom w:w="55" w:type="dxa"/>
        <w:right w:w="55" w:type="dxa"/>
      </w:tblCellMar>
    </w:tblPr>
  </w:style>
  <w:style w:type="table" w:customStyle="1" w:styleId="a1">
    <w:basedOn w:val="TableNormal1"/>
    <w:tblPr>
      <w:tblStyleRowBandSize w:val="1"/>
      <w:tblStyleColBandSize w:val="1"/>
      <w:tblCellMar>
        <w:top w:w="55" w:type="dxa"/>
        <w:left w:w="55" w:type="dxa"/>
        <w:bottom w:w="55" w:type="dxa"/>
        <w:right w:w="55" w:type="dxa"/>
      </w:tblCellMar>
    </w:tblPr>
  </w:style>
  <w:style w:type="table" w:customStyle="1" w:styleId="a2">
    <w:basedOn w:val="TableNormal1"/>
    <w:tblPr>
      <w:tblStyleRowBandSize w:val="1"/>
      <w:tblStyleColBandSize w:val="1"/>
      <w:tblCellMar>
        <w:top w:w="55" w:type="dxa"/>
        <w:left w:w="55" w:type="dxa"/>
        <w:bottom w:w="55" w:type="dxa"/>
        <w:right w:w="5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Gl+uwgG9+syd2t+EmWfFqPfFig==">CgMxLjA4AHIhMThtYVg3R2pGVEdWTl9xRnRpOFBvWE1yTUNpNTBORDc2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461</Words>
  <Characters>2491</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Janielli Sabará 2025</dc:creator>
  <cp:lastModifiedBy>Escritório Advocacia Janielli Sabará</cp:lastModifiedBy>
  <cp:revision>2</cp:revision>
  <dcterms:created xsi:type="dcterms:W3CDTF">2025-12-16T15:19:00Z</dcterms:created>
  <dcterms:modified xsi:type="dcterms:W3CDTF">2025-12-18T17:43:00Z</dcterms:modified>
</cp:coreProperties>
</file>