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56/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fevereiro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a Vo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ssa Senhoria o Requerimento Nº 55/2026 de autoria dos vereadores AIDANO APARECIDO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“Dú da Farmácia”,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e </w:t>
      </w:r>
      <w:bookmarkStart w:id="1" w:name="_GoBack"/>
      <w:bookmarkEnd w:id="1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 </w:t>
      </w:r>
      <w:r>
        <w:rPr>
          <w:rFonts w:hint="default" w:ascii="Arial" w:hAnsi="Arial" w:eastAsiaTheme="minorEastAsia"/>
          <w:caps/>
          <w:smallCaps w:val="0"/>
          <w:sz w:val="24"/>
          <w:szCs w:val="24"/>
          <w:shd w:val="clear" w:color="auto" w:fill="auto"/>
          <w:lang w:val="pt-BR"/>
        </w:rPr>
        <w:t>Carlos Luiz de Deus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“Carlinhos de Deus 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56B49B1D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Fernando Del Nero</w:t>
      </w:r>
    </w:p>
    <w:p w14:paraId="1055A4A8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Secretário Municipal de Educação</w:t>
      </w:r>
    </w:p>
    <w:p w14:paraId="78DDE899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educacao@pirassununga.sp.gov.br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C49306B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52546E5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F01BEC"/>
    <w:rsid w:val="4B0F40E4"/>
    <w:rsid w:val="4B4B3955"/>
    <w:rsid w:val="4F2350CE"/>
    <w:rsid w:val="53710851"/>
    <w:rsid w:val="5463197D"/>
    <w:rsid w:val="569B456B"/>
    <w:rsid w:val="56E50A00"/>
    <w:rsid w:val="58424930"/>
    <w:rsid w:val="5AE24819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3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2026-02-11T11:29:29Z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